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CDECA" w14:textId="1500A40A" w:rsidR="003E1A65" w:rsidRPr="00DE4417" w:rsidRDefault="003E1A65" w:rsidP="00141C79">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F12E1F">
        <w:rPr>
          <w:rFonts w:eastAsia="Malgun Gothic"/>
          <w:b/>
          <w:bCs/>
          <w:sz w:val="28"/>
          <w:lang w:val="en-GB"/>
        </w:rPr>
        <w:t>90</w:t>
      </w:r>
      <w:r w:rsidRPr="00DE4417">
        <w:rPr>
          <w:rFonts w:eastAsia="Malgun Gothic"/>
          <w:b/>
          <w:bCs/>
          <w:sz w:val="28"/>
          <w:lang w:val="en-GB" w:eastAsia="ko-KR"/>
        </w:rPr>
        <w:tab/>
      </w:r>
      <w:bookmarkStart w:id="0" w:name="_GoBack"/>
      <w:bookmarkEnd w:id="0"/>
      <w:r w:rsidR="00141C79" w:rsidRPr="00141C79">
        <w:rPr>
          <w:rFonts w:eastAsia="Malgun Gothic"/>
          <w:b/>
          <w:bCs/>
          <w:sz w:val="28"/>
          <w:lang w:val="en-GB"/>
        </w:rPr>
        <w:t>R4-1900128</w:t>
      </w:r>
    </w:p>
    <w:p w14:paraId="50CBE1C5" w14:textId="6EBA121A" w:rsidR="003E1A65" w:rsidRPr="00DE4417" w:rsidRDefault="0027778C" w:rsidP="0027778C">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27778C">
        <w:rPr>
          <w:rFonts w:eastAsia="Malgun Gothic"/>
          <w:b/>
          <w:bCs/>
          <w:sz w:val="28"/>
          <w:lang w:val="en-GB" w:eastAsia="ko-KR"/>
        </w:rPr>
        <w:t>Athens</w:t>
      </w:r>
      <w:r w:rsidR="003E1A65" w:rsidRPr="00DE4417">
        <w:rPr>
          <w:rFonts w:eastAsia="Malgun Gothic"/>
          <w:b/>
          <w:bCs/>
          <w:sz w:val="28"/>
          <w:lang w:val="en-GB" w:eastAsia="ko-KR"/>
        </w:rPr>
        <w:t xml:space="preserve">, </w:t>
      </w:r>
      <w:r w:rsidRPr="0027778C">
        <w:rPr>
          <w:rFonts w:eastAsia="Malgun Gothic"/>
          <w:b/>
          <w:bCs/>
          <w:sz w:val="28"/>
          <w:lang w:val="en-GB" w:eastAsia="ko-KR"/>
        </w:rPr>
        <w:t>Greece</w:t>
      </w:r>
      <w:r w:rsidR="003E1A65" w:rsidRPr="00DE4417">
        <w:rPr>
          <w:rFonts w:eastAsia="Malgun Gothic"/>
          <w:b/>
          <w:bCs/>
          <w:sz w:val="28"/>
          <w:lang w:val="en-GB" w:eastAsia="ko-KR"/>
        </w:rPr>
        <w:t xml:space="preserve">, </w:t>
      </w:r>
      <w:r>
        <w:rPr>
          <w:rFonts w:eastAsia="Malgun Gothic"/>
          <w:b/>
          <w:bCs/>
          <w:sz w:val="28"/>
          <w:lang w:val="en-GB" w:eastAsia="ko-KR"/>
        </w:rPr>
        <w:t>25 Feb - 1 Mar 2019</w:t>
      </w:r>
    </w:p>
    <w:p w14:paraId="38A11C1B" w14:textId="7298521D" w:rsidR="003E1A65" w:rsidRPr="00DE4417" w:rsidRDefault="003E1A65" w:rsidP="00F12E1F">
      <w:pPr>
        <w:rPr>
          <w:bCs/>
          <w:lang w:val="en-GB"/>
        </w:rPr>
      </w:pPr>
      <w:r w:rsidRPr="00DE4417">
        <w:rPr>
          <w:b/>
          <w:lang w:val="en-GB"/>
        </w:rPr>
        <w:t>Source:</w:t>
      </w:r>
      <w:r w:rsidRPr="00DE4417">
        <w:rPr>
          <w:b/>
          <w:lang w:val="en-GB"/>
        </w:rPr>
        <w:tab/>
      </w:r>
      <w:r w:rsidRPr="00DE4417">
        <w:rPr>
          <w:b/>
          <w:lang w:val="en-GB"/>
        </w:rPr>
        <w:tab/>
      </w:r>
      <w:r w:rsidR="00F12E1F">
        <w:rPr>
          <w:lang w:val="en-GB"/>
        </w:rPr>
        <w:t>Intel Corporation</w:t>
      </w:r>
    </w:p>
    <w:p w14:paraId="422DE63C" w14:textId="2965555D" w:rsidR="00B81FC7" w:rsidRPr="00F12E1F" w:rsidRDefault="00B81FC7" w:rsidP="00DC786E">
      <w:pPr>
        <w:ind w:left="2160" w:hanging="2160"/>
        <w:rPr>
          <w:bCs/>
          <w:lang w:val="en-GB"/>
        </w:rPr>
      </w:pPr>
      <w:r w:rsidRPr="00DE4417">
        <w:rPr>
          <w:b/>
          <w:lang w:val="en-GB"/>
        </w:rPr>
        <w:t>Title:</w:t>
      </w:r>
      <w:r w:rsidRPr="00DE4417">
        <w:rPr>
          <w:b/>
          <w:lang w:val="en-GB"/>
        </w:rPr>
        <w:tab/>
      </w:r>
      <w:r w:rsidR="00F12E1F" w:rsidRPr="00F12E1F">
        <w:rPr>
          <w:bCs/>
          <w:lang w:val="en-GB"/>
        </w:rPr>
        <w:t xml:space="preserve">FR2 </w:t>
      </w:r>
      <w:r w:rsidR="00DC786E">
        <w:rPr>
          <w:bCs/>
          <w:lang w:val="en-GB"/>
        </w:rPr>
        <w:t>o</w:t>
      </w:r>
      <w:r w:rsidR="00121773" w:rsidRPr="00F12E1F">
        <w:rPr>
          <w:bCs/>
          <w:lang w:val="en-GB"/>
        </w:rPr>
        <w:t>ccupied bandwidth requirements</w:t>
      </w:r>
    </w:p>
    <w:p w14:paraId="75E65FB7" w14:textId="48691A94" w:rsidR="00B81FC7" w:rsidRPr="00DE4417" w:rsidRDefault="00B81FC7" w:rsidP="005A15A3">
      <w:pPr>
        <w:rPr>
          <w:bCs/>
          <w:lang w:val="en-GB" w:eastAsia="ja-JP"/>
        </w:rPr>
      </w:pPr>
      <w:r w:rsidRPr="00DE4417">
        <w:rPr>
          <w:b/>
          <w:lang w:val="en-GB"/>
        </w:rPr>
        <w:t>Agenda Item:</w:t>
      </w:r>
      <w:r w:rsidRPr="00DE4417">
        <w:rPr>
          <w:lang w:val="en-GB"/>
        </w:rPr>
        <w:tab/>
      </w:r>
      <w:r w:rsidR="00CC6B35" w:rsidRPr="00DE4417">
        <w:rPr>
          <w:lang w:val="en-GB"/>
        </w:rPr>
        <w:tab/>
      </w:r>
      <w:r w:rsidR="005A15A3" w:rsidRPr="005A15A3">
        <w:rPr>
          <w:lang w:val="en-GB"/>
        </w:rPr>
        <w:t>6.7.8.7</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59D92B3E" w14:textId="64196180" w:rsidR="00FC45FA" w:rsidRDefault="002A659B" w:rsidP="00FC45FA">
      <w:pPr>
        <w:pStyle w:val="Heading1"/>
        <w:rPr>
          <w:rFonts w:cs="Arial"/>
        </w:rPr>
      </w:pPr>
      <w:bookmarkStart w:id="1" w:name="OLE_LINK10"/>
      <w:bookmarkStart w:id="2" w:name="OLE_LINK11"/>
      <w:r w:rsidRPr="00DE4417">
        <w:rPr>
          <w:rFonts w:cs="Arial"/>
        </w:rPr>
        <w:t>Discussion</w:t>
      </w:r>
    </w:p>
    <w:p w14:paraId="3CBE6961" w14:textId="78CF0839" w:rsidR="003D16A8" w:rsidRDefault="003D16A8" w:rsidP="00806CB6">
      <w:pPr>
        <w:pStyle w:val="Heading2"/>
        <w:rPr>
          <w:lang w:val="en-US"/>
        </w:rPr>
      </w:pPr>
      <w:r w:rsidRPr="00AE068E">
        <w:rPr>
          <w:lang w:val="en-US"/>
        </w:rPr>
        <w:t xml:space="preserve"> </w:t>
      </w:r>
      <w:r w:rsidR="00806CB6">
        <w:rPr>
          <w:lang w:val="en-US"/>
        </w:rPr>
        <w:t>O</w:t>
      </w:r>
      <w:r w:rsidR="00806CB6">
        <w:t>occupied bandwidth</w:t>
      </w:r>
      <w:r w:rsidR="00806CB6">
        <w:rPr>
          <w:lang w:val="en-US"/>
        </w:rPr>
        <w:t xml:space="preserve"> (OBW) Requirement</w:t>
      </w:r>
    </w:p>
    <w:p w14:paraId="47C50BDC" w14:textId="73505E75" w:rsidR="005F2427" w:rsidRDefault="00727391" w:rsidP="00E74A72">
      <w:pPr>
        <w:jc w:val="both"/>
        <w:rPr>
          <w:lang w:eastAsia="en-US"/>
        </w:rPr>
      </w:pPr>
      <w:r>
        <w:rPr>
          <w:lang w:eastAsia="en-US"/>
        </w:rPr>
        <w:t xml:space="preserve">The </w:t>
      </w:r>
      <w:r w:rsidR="00A22EF2">
        <w:rPr>
          <w:lang w:eastAsia="en-US"/>
        </w:rPr>
        <w:t xml:space="preserve">current </w:t>
      </w:r>
      <w:r>
        <w:rPr>
          <w:lang w:eastAsia="en-US"/>
        </w:rPr>
        <w:t xml:space="preserve">requirements for </w:t>
      </w:r>
      <w:r w:rsidR="00A22EF2">
        <w:rPr>
          <w:lang w:eastAsia="en-US"/>
        </w:rPr>
        <w:t xml:space="preserve">FR2 </w:t>
      </w:r>
      <w:r>
        <w:rPr>
          <w:lang w:eastAsia="en-US"/>
        </w:rPr>
        <w:t>occupied bandwidth</w:t>
      </w:r>
      <w:r w:rsidR="002F76C0">
        <w:rPr>
          <w:lang w:eastAsia="en-US"/>
        </w:rPr>
        <w:t xml:space="preserve"> (OBW)</w:t>
      </w:r>
      <w:r>
        <w:rPr>
          <w:lang w:eastAsia="en-US"/>
        </w:rPr>
        <w:t xml:space="preserve"> in clause 6.5.1 of 38.101-</w:t>
      </w:r>
      <w:r w:rsidR="002F76C0">
        <w:rPr>
          <w:lang w:eastAsia="en-US"/>
        </w:rPr>
        <w:t>2</w:t>
      </w:r>
      <w:r>
        <w:rPr>
          <w:lang w:eastAsia="en-US"/>
        </w:rPr>
        <w:t xml:space="preserve"> [1] are defined as follows:</w:t>
      </w:r>
    </w:p>
    <w:p w14:paraId="0CFE3D96" w14:textId="02A117A1" w:rsidR="00727391" w:rsidRPr="002F76C0" w:rsidRDefault="002F76C0" w:rsidP="00E74A72">
      <w:pPr>
        <w:jc w:val="both"/>
        <w:rPr>
          <w:rFonts w:ascii="Times New Roman" w:hAnsi="Times New Roman" w:cs="Times New Roman"/>
          <w:i/>
        </w:rPr>
      </w:pPr>
      <w:r w:rsidRPr="002F76C0">
        <w:rPr>
          <w:rFonts w:ascii="Times New Roman" w:hAnsi="Times New Roman" w:cs="Times New Roman"/>
          <w:i/>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108D5E50" w14:textId="1543B7F4" w:rsidR="00727391" w:rsidRPr="002F76C0" w:rsidRDefault="00727391" w:rsidP="00E74A72">
      <w:pPr>
        <w:pStyle w:val="TH"/>
        <w:jc w:val="both"/>
        <w:rPr>
          <w:rFonts w:ascii="Times New Roman" w:hAnsi="Times New Roman"/>
          <w:i/>
        </w:rPr>
      </w:pPr>
      <w:r w:rsidRPr="002F76C0">
        <w:rPr>
          <w:rFonts w:ascii="Times New Roman" w:hAnsi="Times New Roman"/>
          <w:i/>
        </w:rPr>
        <w:t>Table 6.</w:t>
      </w:r>
      <w:r w:rsidR="002F76C0" w:rsidRPr="002F76C0">
        <w:rPr>
          <w:rFonts w:ascii="Times New Roman" w:hAnsi="Times New Roman"/>
          <w:i/>
          <w:lang w:val="en-US"/>
        </w:rPr>
        <w:t>6</w:t>
      </w:r>
      <w:r w:rsidRPr="002F76C0">
        <w:rPr>
          <w:rFonts w:ascii="Times New Roman" w:hAnsi="Times New Roman"/>
          <w:i/>
        </w:rPr>
        <w:t>.1-1: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812"/>
        <w:gridCol w:w="1331"/>
        <w:gridCol w:w="1331"/>
        <w:gridCol w:w="1331"/>
      </w:tblGrid>
      <w:tr w:rsidR="00727391" w:rsidRPr="002F76C0" w14:paraId="26488954" w14:textId="77777777" w:rsidTr="002F76C0">
        <w:trPr>
          <w:jc w:val="center"/>
        </w:trPr>
        <w:tc>
          <w:tcPr>
            <w:tcW w:w="0" w:type="auto"/>
            <w:vMerge w:val="restart"/>
            <w:shd w:val="clear" w:color="auto" w:fill="auto"/>
          </w:tcPr>
          <w:p w14:paraId="1A67ED18" w14:textId="77777777" w:rsidR="00727391" w:rsidRPr="002F76C0" w:rsidRDefault="00727391" w:rsidP="00E74A72">
            <w:pPr>
              <w:jc w:val="both"/>
              <w:rPr>
                <w:rFonts w:ascii="Times New Roman" w:hAnsi="Times New Roman" w:cs="Times New Roman"/>
                <w:i/>
              </w:rPr>
            </w:pPr>
          </w:p>
        </w:tc>
        <w:tc>
          <w:tcPr>
            <w:tcW w:w="0" w:type="auto"/>
          </w:tcPr>
          <w:p w14:paraId="1FFF76E1" w14:textId="77777777" w:rsidR="00727391" w:rsidRPr="002F76C0" w:rsidRDefault="00727391" w:rsidP="00E74A72">
            <w:pPr>
              <w:pStyle w:val="TAH"/>
              <w:jc w:val="both"/>
              <w:rPr>
                <w:rFonts w:ascii="Times New Roman" w:hAnsi="Times New Roman"/>
                <w:i/>
              </w:rPr>
            </w:pPr>
          </w:p>
        </w:tc>
        <w:tc>
          <w:tcPr>
            <w:tcW w:w="0" w:type="auto"/>
            <w:gridSpan w:val="3"/>
          </w:tcPr>
          <w:p w14:paraId="26806251" w14:textId="61F4BF6A" w:rsidR="00727391" w:rsidRPr="002F76C0" w:rsidRDefault="00727391" w:rsidP="00E74A72">
            <w:pPr>
              <w:pStyle w:val="TAH"/>
              <w:jc w:val="both"/>
              <w:rPr>
                <w:rFonts w:ascii="Times New Roman" w:hAnsi="Times New Roman"/>
                <w:i/>
              </w:rPr>
            </w:pPr>
            <w:r w:rsidRPr="002F76C0">
              <w:rPr>
                <w:rFonts w:ascii="Times New Roman" w:hAnsi="Times New Roman"/>
                <w:i/>
              </w:rPr>
              <w:t>Occupied channel bandwidth / Channel bandwidth</w:t>
            </w:r>
          </w:p>
        </w:tc>
      </w:tr>
      <w:tr w:rsidR="002F76C0" w:rsidRPr="002F76C0" w14:paraId="54CBAD8E" w14:textId="77777777" w:rsidTr="002F76C0">
        <w:trPr>
          <w:jc w:val="center"/>
        </w:trPr>
        <w:tc>
          <w:tcPr>
            <w:tcW w:w="0" w:type="auto"/>
            <w:vMerge/>
            <w:shd w:val="clear" w:color="auto" w:fill="auto"/>
          </w:tcPr>
          <w:p w14:paraId="47C9356E" w14:textId="77777777" w:rsidR="002F76C0" w:rsidRPr="002F76C0" w:rsidRDefault="002F76C0" w:rsidP="00E74A72">
            <w:pPr>
              <w:jc w:val="both"/>
              <w:rPr>
                <w:rFonts w:ascii="Times New Roman" w:hAnsi="Times New Roman" w:cs="Times New Roman"/>
                <w:i/>
              </w:rPr>
            </w:pPr>
          </w:p>
        </w:tc>
        <w:tc>
          <w:tcPr>
            <w:tcW w:w="0" w:type="auto"/>
            <w:shd w:val="clear" w:color="auto" w:fill="auto"/>
          </w:tcPr>
          <w:p w14:paraId="029A0075" w14:textId="77777777" w:rsidR="002F76C0" w:rsidRPr="002F76C0" w:rsidRDefault="002F76C0" w:rsidP="00E74A72">
            <w:pPr>
              <w:pStyle w:val="TAH"/>
              <w:jc w:val="both"/>
              <w:rPr>
                <w:rFonts w:ascii="Times New Roman" w:hAnsi="Times New Roman"/>
                <w:i/>
              </w:rPr>
            </w:pPr>
            <w:r w:rsidRPr="002F76C0">
              <w:rPr>
                <w:rFonts w:ascii="Times New Roman" w:hAnsi="Times New Roman"/>
                <w:i/>
              </w:rPr>
              <w:t>50 MHz</w:t>
            </w:r>
          </w:p>
        </w:tc>
        <w:tc>
          <w:tcPr>
            <w:tcW w:w="0" w:type="auto"/>
            <w:shd w:val="clear" w:color="auto" w:fill="auto"/>
          </w:tcPr>
          <w:p w14:paraId="69103695" w14:textId="61861A65" w:rsidR="002F76C0" w:rsidRPr="002F76C0" w:rsidRDefault="002F76C0" w:rsidP="00E74A72">
            <w:pPr>
              <w:pStyle w:val="TAH"/>
              <w:jc w:val="both"/>
              <w:rPr>
                <w:rFonts w:ascii="Times New Roman" w:hAnsi="Times New Roman"/>
                <w:i/>
              </w:rPr>
            </w:pPr>
            <w:r w:rsidRPr="002F76C0">
              <w:rPr>
                <w:rFonts w:ascii="Times New Roman" w:hAnsi="Times New Roman"/>
                <w:i/>
                <w:lang w:val="en-US"/>
              </w:rPr>
              <w:t>100</w:t>
            </w:r>
            <w:r w:rsidRPr="002F76C0">
              <w:rPr>
                <w:rFonts w:ascii="Times New Roman" w:hAnsi="Times New Roman"/>
                <w:i/>
              </w:rPr>
              <w:t xml:space="preserve"> MHz</w:t>
            </w:r>
          </w:p>
        </w:tc>
        <w:tc>
          <w:tcPr>
            <w:tcW w:w="0" w:type="auto"/>
            <w:shd w:val="clear" w:color="auto" w:fill="auto"/>
          </w:tcPr>
          <w:p w14:paraId="2E0AE72C" w14:textId="365FF6B8" w:rsidR="002F76C0" w:rsidRPr="002F76C0" w:rsidRDefault="002F76C0" w:rsidP="00E74A72">
            <w:pPr>
              <w:pStyle w:val="TAH"/>
              <w:jc w:val="both"/>
              <w:rPr>
                <w:rFonts w:ascii="Times New Roman" w:hAnsi="Times New Roman"/>
                <w:i/>
              </w:rPr>
            </w:pPr>
            <w:r w:rsidRPr="002F76C0">
              <w:rPr>
                <w:rFonts w:ascii="Times New Roman" w:hAnsi="Times New Roman"/>
                <w:i/>
                <w:lang w:val="en-US"/>
              </w:rPr>
              <w:t>200</w:t>
            </w:r>
            <w:r w:rsidRPr="002F76C0">
              <w:rPr>
                <w:rFonts w:ascii="Times New Roman" w:hAnsi="Times New Roman"/>
                <w:i/>
              </w:rPr>
              <w:t xml:space="preserve"> MHz</w:t>
            </w:r>
          </w:p>
        </w:tc>
        <w:tc>
          <w:tcPr>
            <w:tcW w:w="0" w:type="auto"/>
          </w:tcPr>
          <w:p w14:paraId="735342D2" w14:textId="583692FB" w:rsidR="002F76C0" w:rsidRPr="002F76C0" w:rsidRDefault="002F76C0" w:rsidP="00E74A72">
            <w:pPr>
              <w:pStyle w:val="TAH"/>
              <w:jc w:val="both"/>
              <w:rPr>
                <w:rFonts w:ascii="Times New Roman" w:hAnsi="Times New Roman"/>
                <w:i/>
              </w:rPr>
            </w:pPr>
            <w:r w:rsidRPr="002F76C0">
              <w:rPr>
                <w:rFonts w:ascii="Times New Roman" w:hAnsi="Times New Roman"/>
                <w:i/>
                <w:lang w:val="en-US"/>
              </w:rPr>
              <w:t>400</w:t>
            </w:r>
            <w:r w:rsidRPr="002F76C0">
              <w:rPr>
                <w:rFonts w:ascii="Times New Roman" w:hAnsi="Times New Roman"/>
                <w:i/>
              </w:rPr>
              <w:t xml:space="preserve"> MHz</w:t>
            </w:r>
          </w:p>
        </w:tc>
      </w:tr>
      <w:tr w:rsidR="002F76C0" w:rsidRPr="002F76C0" w14:paraId="71C686EB" w14:textId="77777777" w:rsidTr="002F76C0">
        <w:trPr>
          <w:trHeight w:val="493"/>
          <w:jc w:val="center"/>
        </w:trPr>
        <w:tc>
          <w:tcPr>
            <w:tcW w:w="0" w:type="auto"/>
            <w:shd w:val="clear" w:color="auto" w:fill="auto"/>
            <w:vAlign w:val="center"/>
          </w:tcPr>
          <w:p w14:paraId="24CE0D3C" w14:textId="77777777" w:rsidR="002F76C0" w:rsidRPr="002F76C0" w:rsidRDefault="002F76C0" w:rsidP="00E74A72">
            <w:pPr>
              <w:pStyle w:val="TAH"/>
              <w:jc w:val="both"/>
              <w:rPr>
                <w:rFonts w:ascii="Times New Roman" w:hAnsi="Times New Roman"/>
                <w:i/>
              </w:rPr>
            </w:pPr>
            <w:r w:rsidRPr="002F76C0">
              <w:rPr>
                <w:rFonts w:ascii="Times New Roman" w:hAnsi="Times New Roman"/>
                <w:i/>
              </w:rPr>
              <w:t>Channel bandwidth (MHz)</w:t>
            </w:r>
          </w:p>
        </w:tc>
        <w:tc>
          <w:tcPr>
            <w:tcW w:w="0" w:type="auto"/>
            <w:shd w:val="clear" w:color="auto" w:fill="auto"/>
            <w:vAlign w:val="center"/>
          </w:tcPr>
          <w:p w14:paraId="04DB8A3C" w14:textId="77777777" w:rsidR="002F76C0" w:rsidRPr="002F76C0" w:rsidRDefault="002F76C0" w:rsidP="00E74A72">
            <w:pPr>
              <w:pStyle w:val="TAC"/>
              <w:jc w:val="both"/>
              <w:rPr>
                <w:rFonts w:ascii="Times New Roman" w:hAnsi="Times New Roman"/>
                <w:i/>
              </w:rPr>
            </w:pPr>
            <w:r w:rsidRPr="002F76C0">
              <w:rPr>
                <w:rFonts w:ascii="Times New Roman" w:hAnsi="Times New Roman"/>
                <w:i/>
              </w:rPr>
              <w:t>50</w:t>
            </w:r>
          </w:p>
        </w:tc>
        <w:tc>
          <w:tcPr>
            <w:tcW w:w="0" w:type="auto"/>
            <w:shd w:val="clear" w:color="auto" w:fill="auto"/>
            <w:vAlign w:val="center"/>
          </w:tcPr>
          <w:p w14:paraId="7552CF39" w14:textId="052D9A0E" w:rsidR="002F76C0" w:rsidRPr="002F76C0" w:rsidRDefault="002F76C0" w:rsidP="00E74A72">
            <w:pPr>
              <w:pStyle w:val="TAC"/>
              <w:jc w:val="both"/>
              <w:rPr>
                <w:rFonts w:ascii="Times New Roman" w:hAnsi="Times New Roman"/>
                <w:i/>
                <w:lang w:val="en-US"/>
              </w:rPr>
            </w:pPr>
            <w:r w:rsidRPr="002F76C0">
              <w:rPr>
                <w:rFonts w:ascii="Times New Roman" w:hAnsi="Times New Roman"/>
                <w:i/>
                <w:lang w:val="en-US"/>
              </w:rPr>
              <w:t>100</w:t>
            </w:r>
          </w:p>
        </w:tc>
        <w:tc>
          <w:tcPr>
            <w:tcW w:w="0" w:type="auto"/>
            <w:shd w:val="clear" w:color="auto" w:fill="auto"/>
            <w:vAlign w:val="center"/>
          </w:tcPr>
          <w:p w14:paraId="04E4BD17" w14:textId="1ED22821" w:rsidR="002F76C0" w:rsidRPr="002F76C0" w:rsidRDefault="002F76C0" w:rsidP="00E74A72">
            <w:pPr>
              <w:pStyle w:val="TAC"/>
              <w:jc w:val="both"/>
              <w:rPr>
                <w:rFonts w:ascii="Times New Roman" w:hAnsi="Times New Roman"/>
                <w:i/>
                <w:lang w:val="en-US"/>
              </w:rPr>
            </w:pPr>
            <w:r w:rsidRPr="002F76C0">
              <w:rPr>
                <w:rFonts w:ascii="Times New Roman" w:hAnsi="Times New Roman"/>
                <w:i/>
                <w:lang w:val="en-US"/>
              </w:rPr>
              <w:t>200</w:t>
            </w:r>
          </w:p>
        </w:tc>
        <w:tc>
          <w:tcPr>
            <w:tcW w:w="0" w:type="auto"/>
            <w:vAlign w:val="center"/>
          </w:tcPr>
          <w:p w14:paraId="5636C6BD" w14:textId="7DE15A49" w:rsidR="002F76C0" w:rsidRPr="002F76C0" w:rsidRDefault="002F76C0" w:rsidP="00E74A72">
            <w:pPr>
              <w:pStyle w:val="TAC"/>
              <w:jc w:val="both"/>
              <w:rPr>
                <w:rFonts w:ascii="Times New Roman" w:hAnsi="Times New Roman"/>
                <w:i/>
                <w:lang w:val="en-US"/>
              </w:rPr>
            </w:pPr>
            <w:r w:rsidRPr="002F76C0">
              <w:rPr>
                <w:rFonts w:ascii="Times New Roman" w:hAnsi="Times New Roman"/>
                <w:i/>
                <w:lang w:val="en-US"/>
              </w:rPr>
              <w:t>400</w:t>
            </w:r>
          </w:p>
        </w:tc>
      </w:tr>
    </w:tbl>
    <w:p w14:paraId="2281FF1F" w14:textId="77777777" w:rsidR="00752EC8" w:rsidRPr="00752EC8" w:rsidRDefault="00752EC8" w:rsidP="00E74A72">
      <w:pPr>
        <w:jc w:val="both"/>
        <w:rPr>
          <w:sz w:val="6"/>
          <w:szCs w:val="6"/>
          <w:lang w:eastAsia="en-US"/>
        </w:rPr>
      </w:pPr>
    </w:p>
    <w:p w14:paraId="1C6F93E1" w14:textId="68F358AC" w:rsidR="002F76C0" w:rsidRDefault="002F76C0" w:rsidP="00A40D00">
      <w:pPr>
        <w:jc w:val="both"/>
        <w:rPr>
          <w:lang w:eastAsia="en-US"/>
        </w:rPr>
      </w:pPr>
      <w:r>
        <w:rPr>
          <w:lang w:eastAsia="en-US"/>
        </w:rPr>
        <w:t>The above OBW requirements require 99% OBW to be less than channel bandwidth.</w:t>
      </w:r>
      <w:r w:rsidR="00B027C3">
        <w:rPr>
          <w:lang w:eastAsia="en-US"/>
        </w:rPr>
        <w:t xml:space="preserve"> </w:t>
      </w:r>
      <w:r w:rsidR="00B027C3" w:rsidRPr="00B027C3">
        <w:rPr>
          <w:lang w:eastAsia="en-US"/>
        </w:rPr>
        <w:t>Roughly, if 99% of the power is in the allocated BW and spectrum is symmetric, then ACLR must be lower than 0.5% (higher than 23dB).</w:t>
      </w:r>
    </w:p>
    <w:p w14:paraId="58A13A6C" w14:textId="25007C0D" w:rsidR="00A22EF2" w:rsidRPr="00A22EF2" w:rsidRDefault="00A22EF2" w:rsidP="00E74A72">
      <w:pPr>
        <w:jc w:val="both"/>
        <w:rPr>
          <w:b/>
          <w:lang w:eastAsia="en-US"/>
        </w:rPr>
      </w:pPr>
      <w:r w:rsidRPr="00A22EF2">
        <w:rPr>
          <w:b/>
        </w:rPr>
        <w:t xml:space="preserve">Observation 1: </w:t>
      </w:r>
      <w:r w:rsidR="00B027C3">
        <w:rPr>
          <w:b/>
          <w:lang w:eastAsia="en-US"/>
        </w:rPr>
        <w:t>I</w:t>
      </w:r>
      <w:r w:rsidRPr="00A22EF2">
        <w:rPr>
          <w:b/>
          <w:lang w:eastAsia="en-US"/>
        </w:rPr>
        <w:t>f 99% of the power is in the allocated BW and spectrum is symmetric, then ACLR must be lower than 0.5% (higher than 23dB).</w:t>
      </w:r>
    </w:p>
    <w:p w14:paraId="6D449288" w14:textId="3393D2B2" w:rsidR="00A22EF2" w:rsidRDefault="00A22EF2" w:rsidP="00E74A72">
      <w:pPr>
        <w:jc w:val="both"/>
        <w:rPr>
          <w:lang w:eastAsia="en-US"/>
        </w:rPr>
      </w:pPr>
      <w:r>
        <w:rPr>
          <w:lang w:eastAsia="en-US"/>
        </w:rPr>
        <w:t xml:space="preserve">However, </w:t>
      </w:r>
      <w:r w:rsidRPr="00A22EF2">
        <w:rPr>
          <w:lang w:eastAsia="en-US"/>
        </w:rPr>
        <w:t>ACLR was relaxed to 16/17dB in R4-1700303</w:t>
      </w:r>
      <w:r>
        <w:rPr>
          <w:lang w:eastAsia="en-US"/>
        </w:rPr>
        <w:t xml:space="preserve"> [2]</w:t>
      </w:r>
      <w:r w:rsidRPr="00A22EF2">
        <w:rPr>
          <w:lang w:eastAsia="en-US"/>
        </w:rPr>
        <w:t xml:space="preserve"> based on the coexistence results for 5%-tile throughput loss</w:t>
      </w:r>
      <w:r>
        <w:rPr>
          <w:lang w:eastAsia="en-US"/>
        </w:rPr>
        <w:t>.</w:t>
      </w:r>
      <w:r w:rsidR="00806CB6">
        <w:rPr>
          <w:lang w:eastAsia="en-US"/>
        </w:rPr>
        <w:t xml:space="preserve"> Therefore, </w:t>
      </w:r>
      <w:r w:rsidR="007D76E0">
        <w:rPr>
          <w:lang w:eastAsia="en-US"/>
        </w:rPr>
        <w:t>a</w:t>
      </w:r>
      <w:r w:rsidR="00806CB6" w:rsidRPr="00806CB6">
        <w:rPr>
          <w:lang w:eastAsia="en-US"/>
        </w:rPr>
        <w:t xml:space="preserve"> UE that passes ACLR test may fail the 99% occupied bandwidth test</w:t>
      </w:r>
      <w:r w:rsidR="00806CB6">
        <w:rPr>
          <w:lang w:eastAsia="en-US"/>
        </w:rPr>
        <w:t>.</w:t>
      </w:r>
    </w:p>
    <w:p w14:paraId="71110AF1" w14:textId="564FD352" w:rsidR="009B2274" w:rsidRDefault="009B2274" w:rsidP="00E74A72">
      <w:pPr>
        <w:jc w:val="both"/>
        <w:rPr>
          <w:b/>
          <w:lang w:eastAsia="en-US"/>
        </w:rPr>
      </w:pPr>
      <w:r w:rsidRPr="00922FD9">
        <w:rPr>
          <w:b/>
          <w:lang w:eastAsia="en-US"/>
        </w:rPr>
        <w:t xml:space="preserve">Observation </w:t>
      </w:r>
      <w:r>
        <w:rPr>
          <w:b/>
          <w:lang w:eastAsia="en-US"/>
        </w:rPr>
        <w:t>2</w:t>
      </w:r>
      <w:r w:rsidRPr="00922FD9">
        <w:rPr>
          <w:b/>
          <w:lang w:eastAsia="en-US"/>
        </w:rPr>
        <w:t>:</w:t>
      </w:r>
      <w:r>
        <w:rPr>
          <w:b/>
          <w:lang w:eastAsia="en-US"/>
        </w:rPr>
        <w:t xml:space="preserve"> A UE that passes </w:t>
      </w:r>
      <w:r w:rsidR="00085FB8" w:rsidRPr="00085FB8">
        <w:rPr>
          <w:b/>
          <w:lang w:eastAsia="en-US"/>
        </w:rPr>
        <w:t>16/17dB ACLR</w:t>
      </w:r>
      <w:r>
        <w:rPr>
          <w:b/>
          <w:lang w:eastAsia="en-US"/>
        </w:rPr>
        <w:t xml:space="preserve"> test may fail the 99% occupied bandwidth test.</w:t>
      </w:r>
    </w:p>
    <w:p w14:paraId="37269EC1" w14:textId="46DD0A7F" w:rsidR="007D76E0" w:rsidRDefault="007D76E0" w:rsidP="006A7BBA">
      <w:pPr>
        <w:jc w:val="both"/>
        <w:rPr>
          <w:lang w:eastAsia="en-US"/>
        </w:rPr>
      </w:pPr>
      <w:r w:rsidRPr="00B027C3">
        <w:rPr>
          <w:lang w:eastAsia="en-US"/>
        </w:rPr>
        <w:t>On the other hand, the result of using 99% OBW is 7dB ACLR tightening effectively which will result in coverage hit (backoff)</w:t>
      </w:r>
      <w:r>
        <w:rPr>
          <w:lang w:eastAsia="en-US"/>
        </w:rPr>
        <w:t>.</w:t>
      </w:r>
    </w:p>
    <w:p w14:paraId="690E7942" w14:textId="0072F23E" w:rsidR="007D76E0" w:rsidRDefault="000704A0" w:rsidP="00C02E86">
      <w:pPr>
        <w:jc w:val="both"/>
        <w:rPr>
          <w:lang w:eastAsia="en-US"/>
        </w:rPr>
      </w:pPr>
      <w:r>
        <w:rPr>
          <w:lang w:eastAsia="en-US"/>
        </w:rPr>
        <w:t xml:space="preserve">This 99% OBW requirements </w:t>
      </w:r>
      <w:r w:rsidR="00FE2BE0">
        <w:rPr>
          <w:lang w:eastAsia="en-US"/>
        </w:rPr>
        <w:t>is</w:t>
      </w:r>
      <w:r>
        <w:rPr>
          <w:lang w:eastAsia="en-US"/>
        </w:rPr>
        <w:t xml:space="preserve"> not an issue for FR1, since current ACLR requirement is 30dB (0.1%).</w:t>
      </w:r>
    </w:p>
    <w:p w14:paraId="7E623EC2" w14:textId="77777777" w:rsidR="002E2768" w:rsidRDefault="002E2768" w:rsidP="00FE2BE0">
      <w:pPr>
        <w:jc w:val="both"/>
        <w:rPr>
          <w:lang w:eastAsia="en-US"/>
        </w:rPr>
      </w:pPr>
    </w:p>
    <w:p w14:paraId="1E54FC5B" w14:textId="0EE5EB69" w:rsidR="00D95CC6" w:rsidRPr="00D95CC6" w:rsidRDefault="00D95CC6" w:rsidP="00D95CC6">
      <w:pPr>
        <w:pStyle w:val="Heading2"/>
        <w:rPr>
          <w:lang w:val="en-US"/>
        </w:rPr>
      </w:pPr>
      <w:r>
        <w:rPr>
          <w:lang w:val="en-US"/>
        </w:rPr>
        <w:lastRenderedPageBreak/>
        <w:t>Simulation Results</w:t>
      </w:r>
    </w:p>
    <w:p w14:paraId="0C951BA4" w14:textId="7CE5328F" w:rsidR="00294103" w:rsidRDefault="00294103" w:rsidP="00294103">
      <w:pPr>
        <w:jc w:val="both"/>
        <w:rPr>
          <w:lang w:eastAsia="en-US"/>
        </w:rPr>
      </w:pPr>
      <w:r>
        <w:rPr>
          <w:lang w:eastAsia="en-US"/>
        </w:rPr>
        <w:t>In R5-190963 [3], a new centered OBW test procedure was proposed to maintain the carrier frequency of the channel under measurement at the center of OBW measurement window. However, this new</w:t>
      </w:r>
      <w:r w:rsidR="00C3104C">
        <w:rPr>
          <w:lang w:eastAsia="en-US"/>
        </w:rPr>
        <w:t xml:space="preserve"> centered</w:t>
      </w:r>
      <w:r>
        <w:rPr>
          <w:lang w:eastAsia="en-US"/>
        </w:rPr>
        <w:t xml:space="preserve"> OBW test procedure results in higher OBW for asymmetric spectrum allocation since the measurement window should be symmetric around the center frequency of the channel bandwidth.</w:t>
      </w:r>
    </w:p>
    <w:p w14:paraId="253D5941" w14:textId="4E68471F" w:rsidR="007D76E0" w:rsidRDefault="007D76E0" w:rsidP="00CB05D0">
      <w:pPr>
        <w:jc w:val="both"/>
        <w:rPr>
          <w:lang w:eastAsia="en-US"/>
        </w:rPr>
      </w:pPr>
      <w:r>
        <w:rPr>
          <w:lang w:eastAsia="en-US"/>
        </w:rPr>
        <w:t>Figure 1 shows the signal spectrum of FR2 PC3 reference waveform (0dB MPR). It is observed that SEM and ACLR requirements are met.</w:t>
      </w:r>
      <w:r w:rsidR="000D4D1C">
        <w:rPr>
          <w:lang w:eastAsia="en-US"/>
        </w:rPr>
        <w:t xml:space="preserve"> </w:t>
      </w:r>
      <w:r w:rsidR="00294103">
        <w:rPr>
          <w:lang w:eastAsia="en-US"/>
        </w:rPr>
        <w:t>However,</w:t>
      </w:r>
      <w:r w:rsidR="00E74A72">
        <w:rPr>
          <w:lang w:eastAsia="en-US"/>
        </w:rPr>
        <w:t xml:space="preserve"> </w:t>
      </w:r>
      <w:r>
        <w:rPr>
          <w:lang w:eastAsia="en-US"/>
        </w:rPr>
        <w:t xml:space="preserve">99% OBW = </w:t>
      </w:r>
      <w:r w:rsidR="00294103">
        <w:rPr>
          <w:lang w:eastAsia="en-US"/>
        </w:rPr>
        <w:t>139</w:t>
      </w:r>
      <w:r w:rsidRPr="007D76E0">
        <w:rPr>
          <w:lang w:eastAsia="en-US"/>
        </w:rPr>
        <w:t>MH</w:t>
      </w:r>
      <w:r>
        <w:rPr>
          <w:lang w:eastAsia="en-US"/>
        </w:rPr>
        <w:t>z</w:t>
      </w:r>
      <w:r w:rsidR="00294103">
        <w:rPr>
          <w:lang w:eastAsia="en-US"/>
        </w:rPr>
        <w:t xml:space="preserve"> (centered 99% OBW = 139.26MHz)</w:t>
      </w:r>
      <w:r w:rsidR="000D4D1C">
        <w:rPr>
          <w:lang w:eastAsia="en-US"/>
        </w:rPr>
        <w:t xml:space="preserve"> which is larger than the 100MHz channel bandwidth</w:t>
      </w:r>
      <w:r w:rsidR="000C03E6">
        <w:rPr>
          <w:lang w:eastAsia="en-US"/>
        </w:rPr>
        <w:t xml:space="preserve">. </w:t>
      </w:r>
      <w:r w:rsidR="00294103">
        <w:rPr>
          <w:lang w:eastAsia="en-US"/>
        </w:rPr>
        <w:t xml:space="preserve">Centered 99% OBW is larger than 99% OBW since the PC3 reference wave is not symmetric around the center frequency. </w:t>
      </w:r>
      <w:r w:rsidR="00CB05D0">
        <w:rPr>
          <w:lang w:eastAsia="en-US"/>
        </w:rPr>
        <w:t>T</w:t>
      </w:r>
      <w:r w:rsidR="000C03E6">
        <w:rPr>
          <w:lang w:eastAsia="en-US"/>
        </w:rPr>
        <w:t>his</w:t>
      </w:r>
      <w:r w:rsidR="000C03E6" w:rsidRPr="000C03E6">
        <w:rPr>
          <w:lang w:eastAsia="en-US"/>
        </w:rPr>
        <w:t xml:space="preserve"> UE passes </w:t>
      </w:r>
      <w:r w:rsidR="000C03E6">
        <w:rPr>
          <w:lang w:eastAsia="en-US"/>
        </w:rPr>
        <w:t xml:space="preserve">SEM and </w:t>
      </w:r>
      <w:r w:rsidR="000C03E6" w:rsidRPr="000C03E6">
        <w:rPr>
          <w:lang w:eastAsia="en-US"/>
        </w:rPr>
        <w:t>ACLR test</w:t>
      </w:r>
      <w:r w:rsidR="000C03E6">
        <w:rPr>
          <w:lang w:eastAsia="en-US"/>
        </w:rPr>
        <w:t xml:space="preserve">s but </w:t>
      </w:r>
      <w:r w:rsidR="000C03E6" w:rsidRPr="000C03E6">
        <w:rPr>
          <w:lang w:eastAsia="en-US"/>
        </w:rPr>
        <w:t>fail</w:t>
      </w:r>
      <w:r w:rsidR="000F56F9">
        <w:rPr>
          <w:lang w:eastAsia="en-US"/>
        </w:rPr>
        <w:t>s</w:t>
      </w:r>
      <w:r w:rsidR="000C03E6" w:rsidRPr="000C03E6">
        <w:rPr>
          <w:lang w:eastAsia="en-US"/>
        </w:rPr>
        <w:t xml:space="preserve"> the 99% </w:t>
      </w:r>
      <w:r w:rsidR="000C03E6">
        <w:rPr>
          <w:lang w:eastAsia="en-US"/>
        </w:rPr>
        <w:t>OBW test</w:t>
      </w:r>
      <w:r w:rsidR="00E74A72">
        <w:rPr>
          <w:lang w:eastAsia="en-US"/>
        </w:rPr>
        <w:t>.</w:t>
      </w:r>
      <w:r w:rsidR="000C03E6">
        <w:rPr>
          <w:lang w:eastAsia="en-US"/>
        </w:rPr>
        <w:t xml:space="preserve"> </w:t>
      </w:r>
      <w:r w:rsidR="00E74A72">
        <w:rPr>
          <w:lang w:eastAsia="en-US"/>
        </w:rPr>
        <w:t>This</w:t>
      </w:r>
      <w:r w:rsidR="000D4D1C">
        <w:rPr>
          <w:lang w:eastAsia="en-US"/>
        </w:rPr>
        <w:t xml:space="preserve"> verifies</w:t>
      </w:r>
      <w:r w:rsidR="000C03E6">
        <w:rPr>
          <w:lang w:eastAsia="en-US"/>
        </w:rPr>
        <w:t xml:space="preserve"> our</w:t>
      </w:r>
      <w:r w:rsidR="000D4D1C">
        <w:rPr>
          <w:lang w:eastAsia="en-US"/>
        </w:rPr>
        <w:t xml:space="preserve"> Observations 1 and 2. On the other hand</w:t>
      </w:r>
      <w:r w:rsidR="000C03E6">
        <w:rPr>
          <w:lang w:eastAsia="en-US"/>
        </w:rPr>
        <w:t>,</w:t>
      </w:r>
      <w:r w:rsidR="000D4D1C">
        <w:rPr>
          <w:lang w:eastAsia="en-US"/>
        </w:rPr>
        <w:t xml:space="preserve"> </w:t>
      </w:r>
      <w:r w:rsidR="000C03E6">
        <w:rPr>
          <w:lang w:eastAsia="en-US"/>
        </w:rPr>
        <w:t>s</w:t>
      </w:r>
      <w:r w:rsidR="000D4D1C">
        <w:rPr>
          <w:lang w:eastAsia="en-US"/>
        </w:rPr>
        <w:t>ince the 1</w:t>
      </w:r>
      <w:r w:rsidR="00E74A72">
        <w:rPr>
          <w:lang w:eastAsia="en-US"/>
        </w:rPr>
        <w:t>6</w:t>
      </w:r>
      <w:r w:rsidR="000D4D1C">
        <w:rPr>
          <w:lang w:eastAsia="en-US"/>
        </w:rPr>
        <w:t>dB ACLR requirement is met, 95% OBW = 8</w:t>
      </w:r>
      <w:r w:rsidR="00CB05D0">
        <w:rPr>
          <w:lang w:eastAsia="en-US"/>
        </w:rPr>
        <w:t>9</w:t>
      </w:r>
      <w:r w:rsidR="000D4D1C">
        <w:rPr>
          <w:lang w:eastAsia="en-US"/>
        </w:rPr>
        <w:t>.</w:t>
      </w:r>
      <w:r w:rsidR="00294103">
        <w:rPr>
          <w:lang w:eastAsia="en-US"/>
        </w:rPr>
        <w:t>05</w:t>
      </w:r>
      <w:r w:rsidR="000D4D1C">
        <w:rPr>
          <w:lang w:eastAsia="en-US"/>
        </w:rPr>
        <w:t>MHz</w:t>
      </w:r>
      <w:r w:rsidR="00294103">
        <w:rPr>
          <w:lang w:eastAsia="en-US"/>
        </w:rPr>
        <w:t xml:space="preserve"> (centered 95% OBW = 8</w:t>
      </w:r>
      <w:r w:rsidR="00CB05D0">
        <w:rPr>
          <w:lang w:eastAsia="en-US"/>
        </w:rPr>
        <w:t>9</w:t>
      </w:r>
      <w:r w:rsidR="00294103">
        <w:rPr>
          <w:lang w:eastAsia="en-US"/>
        </w:rPr>
        <w:t>.31MHz)</w:t>
      </w:r>
      <w:r w:rsidR="000D4D1C">
        <w:rPr>
          <w:lang w:eastAsia="en-US"/>
        </w:rPr>
        <w:t xml:space="preserve"> which </w:t>
      </w:r>
      <w:r w:rsidR="00FB0839">
        <w:rPr>
          <w:lang w:eastAsia="en-US"/>
        </w:rPr>
        <w:t xml:space="preserve">is </w:t>
      </w:r>
      <w:r w:rsidR="000D4D1C">
        <w:rPr>
          <w:lang w:eastAsia="en-US"/>
        </w:rPr>
        <w:t>less than the 10</w:t>
      </w:r>
      <w:r w:rsidR="005A15A3">
        <w:rPr>
          <w:lang w:eastAsia="en-US"/>
        </w:rPr>
        <w:t>0</w:t>
      </w:r>
      <w:r w:rsidR="000D4D1C">
        <w:rPr>
          <w:lang w:eastAsia="en-US"/>
        </w:rPr>
        <w:t>MHz channel bandwidth</w:t>
      </w:r>
      <w:r w:rsidR="000C03E6">
        <w:rPr>
          <w:lang w:eastAsia="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933DA" w14:paraId="66EEAD25" w14:textId="77777777" w:rsidTr="004933DA">
        <w:tc>
          <w:tcPr>
            <w:tcW w:w="9350" w:type="dxa"/>
          </w:tcPr>
          <w:p w14:paraId="6F929F1A" w14:textId="77777777" w:rsidR="004933DA" w:rsidRDefault="004933DA" w:rsidP="00796C2E">
            <w:pPr>
              <w:spacing w:after="0"/>
              <w:jc w:val="center"/>
              <w:rPr>
                <w:b/>
                <w:lang w:eastAsia="en-US"/>
              </w:rPr>
            </w:pPr>
            <w:r>
              <w:rPr>
                <w:rFonts w:hint="cs"/>
                <w:noProof/>
                <w:rtl/>
                <w:lang w:eastAsia="en-US"/>
              </w:rPr>
              <w:drawing>
                <wp:inline distT="0" distB="0" distL="0" distR="0" wp14:anchorId="0C1E33D5" wp14:editId="79666B71">
                  <wp:extent cx="5792809" cy="423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W_res0dB.jpg"/>
                          <pic:cNvPicPr/>
                        </pic:nvPicPr>
                        <pic:blipFill>
                          <a:blip r:embed="rId8">
                            <a:extLst>
                              <a:ext uri="{28A0092B-C50C-407E-A947-70E740481C1C}">
                                <a14:useLocalDpi xmlns:a14="http://schemas.microsoft.com/office/drawing/2010/main" val="0"/>
                              </a:ext>
                            </a:extLst>
                          </a:blip>
                          <a:stretch>
                            <a:fillRect/>
                          </a:stretch>
                        </pic:blipFill>
                        <pic:spPr>
                          <a:xfrm>
                            <a:off x="0" y="0"/>
                            <a:ext cx="5792809" cy="4238055"/>
                          </a:xfrm>
                          <a:prstGeom prst="rect">
                            <a:avLst/>
                          </a:prstGeom>
                        </pic:spPr>
                      </pic:pic>
                    </a:graphicData>
                  </a:graphic>
                </wp:inline>
              </w:drawing>
            </w:r>
          </w:p>
        </w:tc>
      </w:tr>
      <w:tr w:rsidR="004933DA" w14:paraId="4786CEF2" w14:textId="77777777" w:rsidTr="004933DA">
        <w:tc>
          <w:tcPr>
            <w:tcW w:w="9350" w:type="dxa"/>
          </w:tcPr>
          <w:p w14:paraId="6D754938" w14:textId="77777777" w:rsidR="004933DA" w:rsidRDefault="004933DA" w:rsidP="00796C2E">
            <w:pPr>
              <w:jc w:val="center"/>
              <w:rPr>
                <w:b/>
                <w:lang w:eastAsia="en-US"/>
              </w:rPr>
            </w:pPr>
            <w:r>
              <w:rPr>
                <w:b/>
                <w:lang w:eastAsia="en-US"/>
              </w:rPr>
              <w:t>Figure 1: Signal spectrum of FR2 PC3 reference waveform with 0dB backoff</w:t>
            </w:r>
          </w:p>
        </w:tc>
      </w:tr>
    </w:tbl>
    <w:p w14:paraId="28E88CD2" w14:textId="52830B3E" w:rsidR="006A7BBA" w:rsidRDefault="00F03507" w:rsidP="00294103">
      <w:pPr>
        <w:jc w:val="both"/>
        <w:rPr>
          <w:lang w:eastAsia="en-US" w:bidi="ar-EG"/>
        </w:rPr>
      </w:pPr>
      <w:r>
        <w:rPr>
          <w:lang w:eastAsia="en-US" w:bidi="ar-EG"/>
        </w:rPr>
        <w:t>Figure 2 shows</w:t>
      </w:r>
      <w:r w:rsidR="006A7BBA">
        <w:rPr>
          <w:lang w:eastAsia="en-US" w:bidi="ar-EG"/>
        </w:rPr>
        <w:t xml:space="preserve"> that this UE needs 1.5dB backoff (1.5dB coverage hit) in order to pass the</w:t>
      </w:r>
      <w:r w:rsidR="00A71639">
        <w:rPr>
          <w:lang w:eastAsia="en-US" w:bidi="ar-EG"/>
        </w:rPr>
        <w:t xml:space="preserve"> 99% OBW test, where 99% OBW = </w:t>
      </w:r>
      <w:r w:rsidR="00294103">
        <w:rPr>
          <w:lang w:eastAsia="en-US" w:bidi="ar-EG"/>
        </w:rPr>
        <w:t>91.95MHz (centered 99% OBW = 94.9</w:t>
      </w:r>
      <w:r w:rsidR="00A71639">
        <w:rPr>
          <w:lang w:eastAsia="en-US" w:bidi="ar-EG"/>
        </w:rPr>
        <w:t>MHz</w:t>
      </w:r>
      <w:r w:rsidR="00294103">
        <w:rPr>
          <w:lang w:eastAsia="en-US" w:bidi="ar-EG"/>
        </w:rPr>
        <w:t>)</w:t>
      </w:r>
      <w:r w:rsidR="005A15A3">
        <w:rPr>
          <w:lang w:eastAsia="en-US" w:bidi="ar-EG"/>
        </w:rPr>
        <w:t xml:space="preserve"> </w:t>
      </w:r>
      <w:r w:rsidR="005A15A3">
        <w:rPr>
          <w:lang w:eastAsia="en-US"/>
        </w:rPr>
        <w:t>which is less than the 100MHz channel bandwidth</w:t>
      </w:r>
      <w:r w:rsidR="006A7BBA">
        <w:rPr>
          <w:lang w:eastAsia="en-US" w:bidi="ar-EG"/>
        </w:rPr>
        <w:t>.</w:t>
      </w:r>
    </w:p>
    <w:p w14:paraId="1D81EE17" w14:textId="560D198F" w:rsidR="006A7BBA" w:rsidRPr="006A7BBA" w:rsidRDefault="006A7BBA" w:rsidP="006A7BBA">
      <w:pPr>
        <w:jc w:val="both"/>
        <w:rPr>
          <w:b/>
          <w:lang w:eastAsia="en-US"/>
        </w:rPr>
      </w:pPr>
      <w:r w:rsidRPr="006A7BBA">
        <w:rPr>
          <w:b/>
          <w:lang w:eastAsia="en-US"/>
        </w:rPr>
        <w:t xml:space="preserve">Observation 3: The result of using 99% OBW is 7dB ACLR tightening effectively which will result </w:t>
      </w:r>
      <w:r w:rsidR="001656D7">
        <w:rPr>
          <w:b/>
          <w:lang w:eastAsia="en-US"/>
        </w:rPr>
        <w:t>in ~1.5dB coverage hit</w:t>
      </w:r>
      <w:r w:rsidRPr="006A7BBA">
        <w:rPr>
          <w:b/>
          <w:lang w:eastAsia="en-US"/>
        </w:rPr>
        <w:t>.</w:t>
      </w:r>
    </w:p>
    <w:tbl>
      <w:tblPr>
        <w:tblStyle w:val="TableGrid"/>
        <w:tblW w:w="0" w:type="auto"/>
        <w:tblLook w:val="04A0" w:firstRow="1" w:lastRow="0" w:firstColumn="1" w:lastColumn="0" w:noHBand="0" w:noVBand="1"/>
      </w:tblPr>
      <w:tblGrid>
        <w:gridCol w:w="9360"/>
      </w:tblGrid>
      <w:tr w:rsidR="004933DA" w14:paraId="5BA996D8" w14:textId="77777777" w:rsidTr="00796C2E">
        <w:tc>
          <w:tcPr>
            <w:tcW w:w="9350" w:type="dxa"/>
            <w:tcBorders>
              <w:top w:val="nil"/>
              <w:left w:val="nil"/>
              <w:bottom w:val="nil"/>
              <w:right w:val="nil"/>
            </w:tcBorders>
          </w:tcPr>
          <w:p w14:paraId="7807BB4E" w14:textId="77777777" w:rsidR="004933DA" w:rsidRDefault="004933DA" w:rsidP="00796C2E">
            <w:pPr>
              <w:jc w:val="center"/>
              <w:rPr>
                <w:b/>
                <w:lang w:eastAsia="en-US"/>
              </w:rPr>
            </w:pPr>
            <w:r>
              <w:rPr>
                <w:rFonts w:hint="cs"/>
                <w:noProof/>
                <w:rtl/>
                <w:lang w:eastAsia="en-US"/>
              </w:rPr>
              <w:lastRenderedPageBreak/>
              <w:drawing>
                <wp:inline distT="0" distB="0" distL="0" distR="0" wp14:anchorId="0B913BAB" wp14:editId="79AAA19E">
                  <wp:extent cx="5961783" cy="4342001"/>
                  <wp:effectExtent l="0" t="0" r="127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W_res1.5dB.jpg"/>
                          <pic:cNvPicPr/>
                        </pic:nvPicPr>
                        <pic:blipFill>
                          <a:blip r:embed="rId9">
                            <a:extLst>
                              <a:ext uri="{28A0092B-C50C-407E-A947-70E740481C1C}">
                                <a14:useLocalDpi xmlns:a14="http://schemas.microsoft.com/office/drawing/2010/main" val="0"/>
                              </a:ext>
                            </a:extLst>
                          </a:blip>
                          <a:stretch>
                            <a:fillRect/>
                          </a:stretch>
                        </pic:blipFill>
                        <pic:spPr>
                          <a:xfrm>
                            <a:off x="0" y="0"/>
                            <a:ext cx="5961783" cy="4342001"/>
                          </a:xfrm>
                          <a:prstGeom prst="rect">
                            <a:avLst/>
                          </a:prstGeom>
                        </pic:spPr>
                      </pic:pic>
                    </a:graphicData>
                  </a:graphic>
                </wp:inline>
              </w:drawing>
            </w:r>
          </w:p>
        </w:tc>
      </w:tr>
      <w:tr w:rsidR="004933DA" w14:paraId="4ADC96C7" w14:textId="77777777" w:rsidTr="00796C2E">
        <w:tc>
          <w:tcPr>
            <w:tcW w:w="9350" w:type="dxa"/>
            <w:tcBorders>
              <w:top w:val="nil"/>
              <w:left w:val="nil"/>
              <w:bottom w:val="nil"/>
              <w:right w:val="nil"/>
            </w:tcBorders>
          </w:tcPr>
          <w:p w14:paraId="140CD1E2" w14:textId="3574EB86" w:rsidR="004933DA" w:rsidRDefault="004933DA" w:rsidP="00D304AE">
            <w:pPr>
              <w:jc w:val="center"/>
              <w:rPr>
                <w:b/>
                <w:lang w:eastAsia="en-US"/>
              </w:rPr>
            </w:pPr>
            <w:r>
              <w:rPr>
                <w:b/>
                <w:lang w:eastAsia="en-US"/>
              </w:rPr>
              <w:t xml:space="preserve">Figure </w:t>
            </w:r>
            <w:r w:rsidR="00D304AE">
              <w:rPr>
                <w:b/>
                <w:lang w:eastAsia="en-US"/>
              </w:rPr>
              <w:t>2</w:t>
            </w:r>
            <w:r>
              <w:rPr>
                <w:b/>
                <w:lang w:eastAsia="en-US"/>
              </w:rPr>
              <w:t>: Signal spectrum of FR2 PC3 reference waveform with 1.5dB backoff</w:t>
            </w:r>
          </w:p>
        </w:tc>
      </w:tr>
    </w:tbl>
    <w:p w14:paraId="0352849C" w14:textId="0EBE970D" w:rsidR="00AB596B" w:rsidRDefault="006A7BBA" w:rsidP="00CB05D0">
      <w:pPr>
        <w:jc w:val="both"/>
        <w:rPr>
          <w:lang w:eastAsia="en-US"/>
        </w:rPr>
      </w:pPr>
      <w:r w:rsidRPr="006A7BBA">
        <w:rPr>
          <w:lang w:eastAsia="en-US"/>
        </w:rPr>
        <w:t xml:space="preserve">To match current ACLR requirement of 16dB (2.5%), occupied bandwidth definition should be </w:t>
      </w:r>
      <w:r w:rsidR="001234B1">
        <w:rPr>
          <w:lang w:eastAsia="en-US"/>
        </w:rPr>
        <w:t xml:space="preserve">redefined </w:t>
      </w:r>
      <w:r w:rsidRPr="006A7BBA">
        <w:rPr>
          <w:lang w:eastAsia="en-US"/>
        </w:rPr>
        <w:t xml:space="preserve">to be </w:t>
      </w:r>
      <w:r w:rsidR="001234B1" w:rsidRPr="001234B1">
        <w:rPr>
          <w:lang w:eastAsia="en-US"/>
        </w:rPr>
        <w:t>the bandwidth containing 9</w:t>
      </w:r>
      <w:r w:rsidR="001234B1">
        <w:rPr>
          <w:lang w:eastAsia="en-US"/>
        </w:rPr>
        <w:t>5</w:t>
      </w:r>
      <w:r w:rsidR="001234B1" w:rsidRPr="001234B1">
        <w:rPr>
          <w:lang w:eastAsia="en-US"/>
        </w:rPr>
        <w:t>% of the total integrated mean power of the transmitted spectrum on the assigned channel.</w:t>
      </w:r>
      <w:r w:rsidR="00AB596B">
        <w:rPr>
          <w:lang w:eastAsia="en-US"/>
        </w:rPr>
        <w:t xml:space="preserve"> This agrees with Figure</w:t>
      </w:r>
      <w:r w:rsidR="001E6A7C">
        <w:rPr>
          <w:lang w:eastAsia="en-US"/>
        </w:rPr>
        <w:t xml:space="preserve"> 1, which shows that 95% OBW = 8</w:t>
      </w:r>
      <w:r w:rsidR="00CB05D0">
        <w:rPr>
          <w:lang w:eastAsia="en-US"/>
        </w:rPr>
        <w:t>9</w:t>
      </w:r>
      <w:r w:rsidR="001E6A7C">
        <w:rPr>
          <w:lang w:eastAsia="en-US"/>
        </w:rPr>
        <w:t>.</w:t>
      </w:r>
      <w:r w:rsidR="000C4349">
        <w:rPr>
          <w:lang w:eastAsia="en-US"/>
        </w:rPr>
        <w:t>05</w:t>
      </w:r>
      <w:r w:rsidR="001E6A7C">
        <w:rPr>
          <w:lang w:eastAsia="en-US"/>
        </w:rPr>
        <w:t>MHz</w:t>
      </w:r>
      <w:r w:rsidR="000C4349">
        <w:rPr>
          <w:lang w:eastAsia="en-US"/>
        </w:rPr>
        <w:t xml:space="preserve"> (centered 95% OBW = 89.31MHz)</w:t>
      </w:r>
      <w:r w:rsidR="00AB596B">
        <w:rPr>
          <w:lang w:eastAsia="en-US"/>
        </w:rPr>
        <w:t xml:space="preserve"> which</w:t>
      </w:r>
      <w:r w:rsidR="00FB0839">
        <w:rPr>
          <w:lang w:eastAsia="en-US"/>
        </w:rPr>
        <w:t xml:space="preserve"> is</w:t>
      </w:r>
      <w:r w:rsidR="003F0DEB">
        <w:rPr>
          <w:lang w:eastAsia="en-US"/>
        </w:rPr>
        <w:t xml:space="preserve"> less than the 100</w:t>
      </w:r>
      <w:r w:rsidR="00AB596B">
        <w:rPr>
          <w:lang w:eastAsia="en-US"/>
        </w:rPr>
        <w:t>MHz channel bandwidth.</w:t>
      </w:r>
    </w:p>
    <w:p w14:paraId="7B3661BF" w14:textId="4D98CD8D" w:rsidR="00D95CC6" w:rsidRDefault="006A7BBA" w:rsidP="00F9229B">
      <w:pPr>
        <w:spacing w:after="0"/>
        <w:jc w:val="both"/>
        <w:rPr>
          <w:b/>
          <w:lang w:eastAsia="en-US"/>
        </w:rPr>
      </w:pPr>
      <w:r>
        <w:rPr>
          <w:b/>
          <w:lang w:eastAsia="en-US"/>
        </w:rPr>
        <w:t xml:space="preserve">Proposal 1: </w:t>
      </w:r>
      <w:r w:rsidR="001234B1" w:rsidRPr="001234B1">
        <w:rPr>
          <w:b/>
          <w:lang w:eastAsia="en-US"/>
        </w:rPr>
        <w:t>To match current ACLR requirement of 16dB (2.5%)</w:t>
      </w:r>
      <w:r w:rsidR="008673D6">
        <w:rPr>
          <w:b/>
          <w:lang w:eastAsia="en-US"/>
        </w:rPr>
        <w:t xml:space="preserve"> and avoid any </w:t>
      </w:r>
      <w:r w:rsidR="00ED37E4">
        <w:rPr>
          <w:b/>
          <w:lang w:eastAsia="en-US"/>
        </w:rPr>
        <w:t>coverage</w:t>
      </w:r>
      <w:r w:rsidR="008673D6">
        <w:rPr>
          <w:b/>
          <w:lang w:eastAsia="en-US"/>
        </w:rPr>
        <w:t xml:space="preserve"> hit</w:t>
      </w:r>
      <w:r w:rsidR="001234B1" w:rsidRPr="001234B1">
        <w:rPr>
          <w:b/>
          <w:lang w:eastAsia="en-US"/>
        </w:rPr>
        <w:t xml:space="preserve">, </w:t>
      </w:r>
      <w:r w:rsidR="00316B03">
        <w:rPr>
          <w:b/>
          <w:lang w:eastAsia="en-US"/>
        </w:rPr>
        <w:t xml:space="preserve">FR2 </w:t>
      </w:r>
      <w:r w:rsidR="001234B1" w:rsidRPr="001234B1">
        <w:rPr>
          <w:b/>
          <w:lang w:eastAsia="en-US"/>
        </w:rPr>
        <w:t>occupied bandwidth definition</w:t>
      </w:r>
      <w:r w:rsidR="00F9229B">
        <w:rPr>
          <w:b/>
          <w:lang w:eastAsia="en-US"/>
        </w:rPr>
        <w:t xml:space="preserve"> for single component carrier and </w:t>
      </w:r>
      <w:r w:rsidR="003E256C">
        <w:rPr>
          <w:b/>
          <w:lang w:eastAsia="en-US"/>
        </w:rPr>
        <w:t>intra-</w:t>
      </w:r>
      <w:r w:rsidR="00C95E44">
        <w:rPr>
          <w:b/>
          <w:lang w:eastAsia="en-US"/>
        </w:rPr>
        <w:t xml:space="preserve">band </w:t>
      </w:r>
      <w:r w:rsidR="003E256C">
        <w:rPr>
          <w:b/>
          <w:lang w:eastAsia="en-US"/>
        </w:rPr>
        <w:t xml:space="preserve">contiguous </w:t>
      </w:r>
      <w:r w:rsidR="00F9229B">
        <w:rPr>
          <w:b/>
          <w:lang w:eastAsia="en-US"/>
        </w:rPr>
        <w:t>carrier aggregation</w:t>
      </w:r>
      <w:r w:rsidR="001234B1" w:rsidRPr="001234B1">
        <w:rPr>
          <w:b/>
          <w:lang w:eastAsia="en-US"/>
        </w:rPr>
        <w:t xml:space="preserve"> should be redefined to be the bandwidth containing 95% of the total integrated mean power of the transmitted spectrum on the assigned channel.</w:t>
      </w:r>
    </w:p>
    <w:p w14:paraId="4FD03440" w14:textId="259DD218" w:rsidR="00FB0839" w:rsidRPr="00D95CC6" w:rsidRDefault="00FB0839" w:rsidP="00FB0839">
      <w:pPr>
        <w:pStyle w:val="Heading2"/>
        <w:rPr>
          <w:lang w:val="en-US"/>
        </w:rPr>
      </w:pPr>
      <w:r>
        <w:rPr>
          <w:lang w:val="en-US"/>
        </w:rPr>
        <w:t>Regulatory Requirement</w:t>
      </w:r>
      <w:r w:rsidR="002146BB">
        <w:rPr>
          <w:lang w:val="en-US"/>
        </w:rPr>
        <w:t>s</w:t>
      </w:r>
    </w:p>
    <w:p w14:paraId="02C7871B" w14:textId="7676A68A" w:rsidR="00A71CE6" w:rsidRDefault="00B470F2" w:rsidP="00FE2BE0">
      <w:pPr>
        <w:jc w:val="both"/>
        <w:rPr>
          <w:lang w:eastAsia="en-US"/>
        </w:rPr>
      </w:pPr>
      <w:r>
        <w:rPr>
          <w:lang w:eastAsia="en-US" w:bidi="ar-EG"/>
        </w:rPr>
        <w:t xml:space="preserve">Some </w:t>
      </w:r>
      <w:r w:rsidR="00104FCE">
        <w:rPr>
          <w:lang w:eastAsia="en-US" w:bidi="ar-EG"/>
        </w:rPr>
        <w:t xml:space="preserve">global </w:t>
      </w:r>
      <w:r>
        <w:rPr>
          <w:lang w:eastAsia="en-US" w:bidi="ar-EG"/>
        </w:rPr>
        <w:t>regulators</w:t>
      </w:r>
      <w:r w:rsidR="00104FCE">
        <w:rPr>
          <w:lang w:eastAsia="en-US" w:bidi="ar-EG"/>
        </w:rPr>
        <w:t xml:space="preserve"> follow 3GPP guidance, </w:t>
      </w:r>
      <w:r w:rsidR="00F76D23">
        <w:rPr>
          <w:lang w:eastAsia="en-US" w:bidi="ar-EG"/>
        </w:rPr>
        <w:t xml:space="preserve">and hence </w:t>
      </w:r>
      <w:r w:rsidR="001C2609">
        <w:rPr>
          <w:lang w:eastAsia="en-US" w:bidi="ar-EG"/>
        </w:rPr>
        <w:t>u</w:t>
      </w:r>
      <w:r w:rsidR="00104FCE">
        <w:rPr>
          <w:lang w:eastAsia="en-US" w:bidi="ar-EG"/>
        </w:rPr>
        <w:t>pdating 3GPP FR2 occupied bandwidth to 95% is an important step in providing clear guidance and input to the global community</w:t>
      </w:r>
      <w:r w:rsidR="00F76D23">
        <w:rPr>
          <w:lang w:eastAsia="en-US" w:bidi="ar-EG"/>
        </w:rPr>
        <w:t>.  Therefore,</w:t>
      </w:r>
      <w:r w:rsidR="00104FCE">
        <w:rPr>
          <w:lang w:eastAsia="en-US" w:bidi="ar-EG"/>
        </w:rPr>
        <w:t xml:space="preserve"> we reco</w:t>
      </w:r>
      <w:r w:rsidR="001C2609">
        <w:rPr>
          <w:lang w:eastAsia="en-US" w:bidi="ar-EG"/>
        </w:rPr>
        <w:t>mmend updating the 3GPP requirement promptly.</w:t>
      </w:r>
    </w:p>
    <w:bookmarkEnd w:id="1"/>
    <w:bookmarkEnd w:id="2"/>
    <w:p w14:paraId="6D21F13F" w14:textId="28E660E3" w:rsidR="00FC562C" w:rsidRPr="00A71CE6" w:rsidRDefault="00FC562C" w:rsidP="00FE2BE0">
      <w:pPr>
        <w:jc w:val="both"/>
        <w:rPr>
          <w:b/>
          <w:lang w:eastAsia="en-US"/>
        </w:rPr>
      </w:pPr>
      <w:r w:rsidRPr="006A7BBA">
        <w:rPr>
          <w:b/>
          <w:lang w:eastAsia="en-US"/>
        </w:rPr>
        <w:t xml:space="preserve">Observation </w:t>
      </w:r>
      <w:r>
        <w:rPr>
          <w:b/>
          <w:lang w:eastAsia="en-US"/>
        </w:rPr>
        <w:t>4</w:t>
      </w:r>
      <w:r w:rsidRPr="006A7BBA">
        <w:rPr>
          <w:b/>
          <w:lang w:eastAsia="en-US"/>
        </w:rPr>
        <w:t xml:space="preserve">: </w:t>
      </w:r>
      <w:r>
        <w:rPr>
          <w:b/>
          <w:lang w:eastAsia="en-US"/>
        </w:rPr>
        <w:t>95% OBW change</w:t>
      </w:r>
      <w:r w:rsidRPr="00316B03">
        <w:rPr>
          <w:b/>
          <w:lang w:eastAsia="en-US"/>
        </w:rPr>
        <w:t xml:space="preserve"> </w:t>
      </w:r>
      <w:r>
        <w:rPr>
          <w:b/>
          <w:lang w:eastAsia="en-US"/>
        </w:rPr>
        <w:t>is</w:t>
      </w:r>
      <w:r w:rsidRPr="00316B03">
        <w:rPr>
          <w:b/>
          <w:lang w:eastAsia="en-US"/>
        </w:rPr>
        <w:t xml:space="preserve"> </w:t>
      </w:r>
      <w:r w:rsidR="00A71CE6">
        <w:rPr>
          <w:b/>
          <w:lang w:eastAsia="en-US"/>
        </w:rPr>
        <w:t>needed</w:t>
      </w:r>
      <w:r w:rsidR="00FE2BE0">
        <w:rPr>
          <w:b/>
          <w:lang w:eastAsia="en-US"/>
        </w:rPr>
        <w:t xml:space="preserve"> in 3GPP</w:t>
      </w:r>
      <w:r w:rsidR="002A2863">
        <w:rPr>
          <w:b/>
          <w:lang w:eastAsia="en-US"/>
        </w:rPr>
        <w:t>, and will have influence on many global regulat</w:t>
      </w:r>
      <w:r w:rsidR="00F76D23">
        <w:rPr>
          <w:b/>
          <w:lang w:eastAsia="en-US"/>
        </w:rPr>
        <w:t>ors</w:t>
      </w:r>
    </w:p>
    <w:p w14:paraId="6A30F3C3" w14:textId="764048E1" w:rsidR="00EE0AC3" w:rsidRPr="00DE4417" w:rsidRDefault="00232282" w:rsidP="00EE0AC3">
      <w:pPr>
        <w:pStyle w:val="Heading1"/>
        <w:rPr>
          <w:rFonts w:cs="Arial"/>
        </w:rPr>
      </w:pPr>
      <w:r>
        <w:rPr>
          <w:rFonts w:cs="Arial"/>
        </w:rPr>
        <w:lastRenderedPageBreak/>
        <w:t>Summary</w:t>
      </w:r>
    </w:p>
    <w:p w14:paraId="69851985" w14:textId="78CC37D5" w:rsidR="00824BF1" w:rsidRDefault="00232282" w:rsidP="000D1B7A">
      <w:pPr>
        <w:pStyle w:val="Heading1"/>
        <w:numPr>
          <w:ilvl w:val="0"/>
          <w:numId w:val="0"/>
        </w:numPr>
        <w:jc w:val="both"/>
        <w:rPr>
          <w:rFonts w:cs="Arial"/>
          <w:b w:val="0"/>
          <w:sz w:val="22"/>
          <w:szCs w:val="22"/>
        </w:rPr>
      </w:pPr>
      <w:bookmarkStart w:id="3" w:name="_Ref473660868"/>
      <w:bookmarkStart w:id="4" w:name="_Ref473660708"/>
      <w:bookmarkStart w:id="5" w:name="OLE_LINK6"/>
      <w:bookmarkStart w:id="6" w:name="OLE_LINK7"/>
      <w:r>
        <w:rPr>
          <w:rFonts w:cs="Arial"/>
          <w:b w:val="0"/>
          <w:sz w:val="22"/>
          <w:szCs w:val="22"/>
        </w:rPr>
        <w:t>In this paper</w:t>
      </w:r>
      <w:r w:rsidR="001656D7">
        <w:rPr>
          <w:rFonts w:cs="Arial"/>
          <w:b w:val="0"/>
          <w:sz w:val="22"/>
          <w:szCs w:val="22"/>
        </w:rPr>
        <w:t>,</w:t>
      </w:r>
      <w:r>
        <w:rPr>
          <w:rFonts w:cs="Arial"/>
          <w:b w:val="0"/>
          <w:sz w:val="22"/>
          <w:szCs w:val="22"/>
        </w:rPr>
        <w:t xml:space="preserve"> </w:t>
      </w:r>
      <w:r w:rsidR="001656D7">
        <w:rPr>
          <w:rFonts w:cs="Arial"/>
          <w:b w:val="0"/>
          <w:sz w:val="22"/>
          <w:szCs w:val="22"/>
        </w:rPr>
        <w:t xml:space="preserve">FR2 </w:t>
      </w:r>
      <w:r>
        <w:rPr>
          <w:rFonts w:cs="Arial"/>
          <w:b w:val="0"/>
          <w:sz w:val="22"/>
          <w:szCs w:val="22"/>
        </w:rPr>
        <w:t>occupied bandwidth requirement for UEs</w:t>
      </w:r>
      <w:r w:rsidR="00ED37E4">
        <w:rPr>
          <w:rFonts w:cs="Arial"/>
          <w:b w:val="0"/>
          <w:sz w:val="22"/>
          <w:szCs w:val="22"/>
        </w:rPr>
        <w:t xml:space="preserve"> is discussed</w:t>
      </w:r>
      <w:r w:rsidR="001656D7">
        <w:rPr>
          <w:rFonts w:cs="Arial"/>
          <w:b w:val="0"/>
          <w:sz w:val="22"/>
          <w:szCs w:val="22"/>
        </w:rPr>
        <w:t>. It is</w:t>
      </w:r>
      <w:r>
        <w:rPr>
          <w:rFonts w:cs="Arial"/>
          <w:b w:val="0"/>
          <w:sz w:val="22"/>
          <w:szCs w:val="22"/>
        </w:rPr>
        <w:t xml:space="preserve"> come to the conclusion that a UE </w:t>
      </w:r>
      <w:r w:rsidR="001656D7" w:rsidRPr="001656D7">
        <w:rPr>
          <w:rFonts w:cs="Arial"/>
          <w:b w:val="0"/>
          <w:sz w:val="22"/>
          <w:szCs w:val="22"/>
        </w:rPr>
        <w:t xml:space="preserve">that passes </w:t>
      </w:r>
      <w:r w:rsidR="001656D7">
        <w:rPr>
          <w:rFonts w:cs="Arial"/>
          <w:b w:val="0"/>
          <w:sz w:val="22"/>
          <w:szCs w:val="22"/>
        </w:rPr>
        <w:t xml:space="preserve">SEM and </w:t>
      </w:r>
      <w:r w:rsidR="001656D7" w:rsidRPr="001656D7">
        <w:rPr>
          <w:rFonts w:cs="Arial"/>
          <w:b w:val="0"/>
          <w:sz w:val="22"/>
          <w:szCs w:val="22"/>
        </w:rPr>
        <w:t>ACLR test</w:t>
      </w:r>
      <w:r w:rsidR="001656D7">
        <w:rPr>
          <w:rFonts w:cs="Arial"/>
          <w:b w:val="0"/>
          <w:sz w:val="22"/>
          <w:szCs w:val="22"/>
        </w:rPr>
        <w:t>s</w:t>
      </w:r>
      <w:r w:rsidR="001656D7" w:rsidRPr="001656D7">
        <w:rPr>
          <w:rFonts w:cs="Arial"/>
          <w:b w:val="0"/>
          <w:sz w:val="22"/>
          <w:szCs w:val="22"/>
        </w:rPr>
        <w:t xml:space="preserve"> may fail the 99% occupied bandwidth test</w:t>
      </w:r>
      <w:r>
        <w:rPr>
          <w:rFonts w:cs="Arial"/>
          <w:b w:val="0"/>
          <w:sz w:val="22"/>
          <w:szCs w:val="22"/>
        </w:rPr>
        <w:t xml:space="preserve">. </w:t>
      </w:r>
      <w:r w:rsidR="001656D7" w:rsidRPr="001656D7">
        <w:rPr>
          <w:rFonts w:cs="Arial"/>
          <w:b w:val="0"/>
          <w:sz w:val="22"/>
          <w:szCs w:val="22"/>
        </w:rPr>
        <w:t>To match current ACLR requirement of 16dB (2.5%)</w:t>
      </w:r>
      <w:r w:rsidR="001656D7">
        <w:rPr>
          <w:rFonts w:cs="Arial"/>
          <w:b w:val="0"/>
          <w:sz w:val="22"/>
          <w:szCs w:val="22"/>
        </w:rPr>
        <w:t xml:space="preserve"> and </w:t>
      </w:r>
      <w:r w:rsidR="001656D7" w:rsidRPr="001656D7">
        <w:rPr>
          <w:rFonts w:cs="Arial"/>
          <w:b w:val="0"/>
          <w:sz w:val="22"/>
          <w:szCs w:val="22"/>
          <w:lang w:val="en-US"/>
        </w:rPr>
        <w:t xml:space="preserve">and to avoid </w:t>
      </w:r>
      <w:r w:rsidR="001656D7">
        <w:rPr>
          <w:rFonts w:cs="Arial"/>
          <w:b w:val="0"/>
          <w:sz w:val="22"/>
          <w:szCs w:val="22"/>
          <w:lang w:val="en-US"/>
        </w:rPr>
        <w:t xml:space="preserve">any </w:t>
      </w:r>
      <w:r w:rsidR="001656D7" w:rsidRPr="001656D7">
        <w:rPr>
          <w:rFonts w:cs="Arial"/>
          <w:b w:val="0"/>
          <w:sz w:val="22"/>
          <w:szCs w:val="22"/>
          <w:lang w:val="en-US"/>
        </w:rPr>
        <w:t>coverage hit</w:t>
      </w:r>
      <w:r w:rsidR="001656D7" w:rsidRPr="001656D7">
        <w:rPr>
          <w:rFonts w:cs="Arial"/>
          <w:b w:val="0"/>
          <w:sz w:val="22"/>
          <w:szCs w:val="22"/>
        </w:rPr>
        <w:t>, FR2 occupied bandwidth definition should be redefined to be the bandwidth containing 95% of the total integrated mean power of the transmitted spectrum on the assigned channel.</w:t>
      </w:r>
      <w:r w:rsidR="001656D7">
        <w:rPr>
          <w:rFonts w:cs="Arial"/>
          <w:b w:val="0"/>
          <w:sz w:val="22"/>
          <w:szCs w:val="22"/>
        </w:rPr>
        <w:t xml:space="preserve"> </w:t>
      </w:r>
      <w:r w:rsidR="000D1B7A" w:rsidRPr="000D1B7A">
        <w:rPr>
          <w:rFonts w:cs="Arial"/>
          <w:b w:val="0"/>
          <w:sz w:val="22"/>
          <w:szCs w:val="22"/>
        </w:rPr>
        <w:t>95% OBW change is needed in 3GPP, and will have influence on many global regulators</w:t>
      </w:r>
      <w:r w:rsidR="000D1B7A">
        <w:rPr>
          <w:rFonts w:cs="Arial"/>
          <w:b w:val="0"/>
          <w:sz w:val="22"/>
          <w:szCs w:val="22"/>
        </w:rPr>
        <w:t>.</w:t>
      </w:r>
    </w:p>
    <w:p w14:paraId="38787D10" w14:textId="77777777" w:rsidR="001656D7" w:rsidRPr="00A22EF2" w:rsidRDefault="001656D7" w:rsidP="001656D7">
      <w:pPr>
        <w:jc w:val="both"/>
        <w:rPr>
          <w:b/>
          <w:lang w:eastAsia="en-US"/>
        </w:rPr>
      </w:pPr>
      <w:r w:rsidRPr="00A22EF2">
        <w:rPr>
          <w:b/>
        </w:rPr>
        <w:t xml:space="preserve">Observation 1: </w:t>
      </w:r>
      <w:r>
        <w:rPr>
          <w:b/>
          <w:lang w:eastAsia="en-US"/>
        </w:rPr>
        <w:t>I</w:t>
      </w:r>
      <w:r w:rsidRPr="00A22EF2">
        <w:rPr>
          <w:b/>
          <w:lang w:eastAsia="en-US"/>
        </w:rPr>
        <w:t>f 99% of the power is in the allocated BW and spectrum is symmetric, then ACLR must be lower than 0.5% (higher than 23dB).</w:t>
      </w:r>
    </w:p>
    <w:p w14:paraId="406006AD" w14:textId="09BAC9FF" w:rsidR="001656D7" w:rsidRDefault="007449CA" w:rsidP="001656D7">
      <w:pPr>
        <w:jc w:val="both"/>
        <w:rPr>
          <w:b/>
          <w:lang w:eastAsia="en-US"/>
        </w:rPr>
      </w:pPr>
      <w:r w:rsidRPr="007449CA">
        <w:rPr>
          <w:b/>
          <w:lang w:eastAsia="en-US"/>
        </w:rPr>
        <w:t>Observation 2: A UE that passes 16/17dB ACLR test may fail the 99% occupied bandwidth test.</w:t>
      </w:r>
    </w:p>
    <w:p w14:paraId="24E6B064" w14:textId="63F64FAB" w:rsidR="001656D7" w:rsidRPr="006A7BBA" w:rsidRDefault="001656D7" w:rsidP="001656D7">
      <w:pPr>
        <w:jc w:val="both"/>
        <w:rPr>
          <w:b/>
          <w:lang w:eastAsia="en-US"/>
        </w:rPr>
      </w:pPr>
      <w:r w:rsidRPr="006A7BBA">
        <w:rPr>
          <w:b/>
          <w:lang w:eastAsia="en-US"/>
        </w:rPr>
        <w:t xml:space="preserve">Observation 3: The result of using 99% OBW is 7dB ACLR tightening effectively which will result </w:t>
      </w:r>
      <w:r>
        <w:rPr>
          <w:b/>
          <w:lang w:eastAsia="en-US"/>
        </w:rPr>
        <w:t>in ~1.5dB coverage hit</w:t>
      </w:r>
      <w:r w:rsidRPr="006A7BBA">
        <w:rPr>
          <w:b/>
          <w:lang w:eastAsia="en-US"/>
        </w:rPr>
        <w:t>.</w:t>
      </w:r>
    </w:p>
    <w:p w14:paraId="4E50FD83" w14:textId="0F8FDC12" w:rsidR="008673D6" w:rsidRDefault="00941B6C" w:rsidP="00941B6C">
      <w:pPr>
        <w:jc w:val="both"/>
        <w:rPr>
          <w:b/>
          <w:lang w:eastAsia="en-US"/>
        </w:rPr>
      </w:pPr>
      <w:r>
        <w:rPr>
          <w:b/>
          <w:lang w:eastAsia="en-US"/>
        </w:rPr>
        <w:t xml:space="preserve">Proposal 1: </w:t>
      </w:r>
      <w:r w:rsidRPr="001234B1">
        <w:rPr>
          <w:b/>
          <w:lang w:eastAsia="en-US"/>
        </w:rPr>
        <w:t>To match current ACLR requirement of 16dB (2.5%)</w:t>
      </w:r>
      <w:r>
        <w:rPr>
          <w:b/>
          <w:lang w:eastAsia="en-US"/>
        </w:rPr>
        <w:t xml:space="preserve"> and avoid any coverage hit</w:t>
      </w:r>
      <w:r w:rsidRPr="001234B1">
        <w:rPr>
          <w:b/>
          <w:lang w:eastAsia="en-US"/>
        </w:rPr>
        <w:t xml:space="preserve">, </w:t>
      </w:r>
      <w:r>
        <w:rPr>
          <w:b/>
          <w:lang w:eastAsia="en-US"/>
        </w:rPr>
        <w:t xml:space="preserve">FR2 </w:t>
      </w:r>
      <w:r w:rsidRPr="001234B1">
        <w:rPr>
          <w:b/>
          <w:lang w:eastAsia="en-US"/>
        </w:rPr>
        <w:t>occupied bandwidth definition</w:t>
      </w:r>
      <w:r>
        <w:rPr>
          <w:b/>
          <w:lang w:eastAsia="en-US"/>
        </w:rPr>
        <w:t xml:space="preserve"> for single component carrier and intra-</w:t>
      </w:r>
      <w:r w:rsidR="00C95E44">
        <w:rPr>
          <w:b/>
          <w:lang w:eastAsia="en-US"/>
        </w:rPr>
        <w:t xml:space="preserve">band </w:t>
      </w:r>
      <w:r>
        <w:rPr>
          <w:b/>
          <w:lang w:eastAsia="en-US"/>
        </w:rPr>
        <w:t>contiguous carrier aggregation</w:t>
      </w:r>
      <w:r w:rsidRPr="001234B1">
        <w:rPr>
          <w:b/>
          <w:lang w:eastAsia="en-US"/>
        </w:rPr>
        <w:t xml:space="preserve"> should be redefined to be the bandwidth containing 95% of the total integrated mean power of the transmitted spectrum on the assigned channel.</w:t>
      </w:r>
    </w:p>
    <w:p w14:paraId="21F04123" w14:textId="375C155F" w:rsidR="00F67BCD" w:rsidRPr="00A71CE6" w:rsidRDefault="00F67BCD" w:rsidP="00F67BCD">
      <w:pPr>
        <w:jc w:val="both"/>
        <w:rPr>
          <w:b/>
          <w:lang w:eastAsia="en-US"/>
        </w:rPr>
      </w:pPr>
      <w:r w:rsidRPr="006A7BBA">
        <w:rPr>
          <w:b/>
          <w:lang w:eastAsia="en-US"/>
        </w:rPr>
        <w:t xml:space="preserve">Observation </w:t>
      </w:r>
      <w:r>
        <w:rPr>
          <w:b/>
          <w:lang w:eastAsia="en-US"/>
        </w:rPr>
        <w:t>4</w:t>
      </w:r>
      <w:r w:rsidRPr="006A7BBA">
        <w:rPr>
          <w:b/>
          <w:lang w:eastAsia="en-US"/>
        </w:rPr>
        <w:t xml:space="preserve">: </w:t>
      </w:r>
      <w:r>
        <w:rPr>
          <w:b/>
          <w:lang w:eastAsia="en-US"/>
        </w:rPr>
        <w:t>95% OBW change</w:t>
      </w:r>
      <w:r w:rsidRPr="00316B03">
        <w:rPr>
          <w:b/>
          <w:lang w:eastAsia="en-US"/>
        </w:rPr>
        <w:t xml:space="preserve"> </w:t>
      </w:r>
      <w:r>
        <w:rPr>
          <w:b/>
          <w:lang w:eastAsia="en-US"/>
        </w:rPr>
        <w:t>is</w:t>
      </w:r>
      <w:r w:rsidRPr="00316B03">
        <w:rPr>
          <w:b/>
          <w:lang w:eastAsia="en-US"/>
        </w:rPr>
        <w:t xml:space="preserve"> </w:t>
      </w:r>
      <w:r>
        <w:rPr>
          <w:b/>
          <w:lang w:eastAsia="en-US"/>
        </w:rPr>
        <w:t>needed in 3GPP, and will have influence on many global regulat</w:t>
      </w:r>
      <w:r w:rsidR="00F76D23">
        <w:rPr>
          <w:b/>
          <w:lang w:eastAsia="en-US"/>
        </w:rPr>
        <w:t>ors</w:t>
      </w:r>
    </w:p>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bookmarkEnd w:id="3"/>
    <w:bookmarkEnd w:id="4"/>
    <w:bookmarkEnd w:id="5"/>
    <w:bookmarkEnd w:id="6"/>
    <w:p w14:paraId="296212CC" w14:textId="5520DD04" w:rsidR="00824BF1" w:rsidRPr="00DA69F8" w:rsidRDefault="0029437F" w:rsidP="0029437F">
      <w:pPr>
        <w:pStyle w:val="ListParagraph"/>
        <w:numPr>
          <w:ilvl w:val="0"/>
          <w:numId w:val="46"/>
        </w:numPr>
        <w:spacing w:after="0" w:line="240" w:lineRule="auto"/>
        <w:rPr>
          <w:sz w:val="28"/>
          <w:szCs w:val="28"/>
          <w:lang w:val="en-GB"/>
        </w:rPr>
      </w:pPr>
      <w:r w:rsidRPr="00DA69F8">
        <w:rPr>
          <w:sz w:val="28"/>
          <w:szCs w:val="28"/>
          <w:lang w:val="en-GB"/>
        </w:rPr>
        <w:t>3GPP TS 38.101-2 V15.4.0 (2018-12).</w:t>
      </w:r>
    </w:p>
    <w:p w14:paraId="3F053A66" w14:textId="15A9D301" w:rsidR="001B137F" w:rsidRPr="00DA69F8" w:rsidRDefault="0029437F" w:rsidP="0029437F">
      <w:pPr>
        <w:pStyle w:val="ListParagraph"/>
        <w:numPr>
          <w:ilvl w:val="0"/>
          <w:numId w:val="46"/>
        </w:numPr>
        <w:spacing w:after="0" w:line="240" w:lineRule="auto"/>
        <w:rPr>
          <w:sz w:val="28"/>
          <w:szCs w:val="28"/>
          <w:lang w:val="en-GB"/>
        </w:rPr>
      </w:pPr>
      <w:r w:rsidRPr="00DA69F8">
        <w:rPr>
          <w:sz w:val="28"/>
          <w:szCs w:val="28"/>
        </w:rPr>
        <w:t xml:space="preserve">R4-1700303 , </w:t>
      </w:r>
      <w:r w:rsidRPr="00DA69F8">
        <w:rPr>
          <w:sz w:val="28"/>
          <w:szCs w:val="28"/>
          <w:lang w:val="en-GB"/>
        </w:rPr>
        <w:t>Way Forward on UE ACLR and BS ACS, Qualcomm Incorporated, Ericsson, 3GPP TSG RAN WG4 Meeting #NR, Spokane, USA, 17 – 19 January 2017.</w:t>
      </w:r>
    </w:p>
    <w:p w14:paraId="61114644" w14:textId="78A5C5E5" w:rsidR="0029437F" w:rsidRPr="00DA69F8" w:rsidRDefault="0029437F" w:rsidP="0029437F">
      <w:pPr>
        <w:pStyle w:val="ListParagraph"/>
        <w:numPr>
          <w:ilvl w:val="0"/>
          <w:numId w:val="46"/>
        </w:numPr>
        <w:spacing w:after="0" w:line="240" w:lineRule="auto"/>
        <w:rPr>
          <w:sz w:val="28"/>
          <w:szCs w:val="28"/>
          <w:lang w:val="en-GB"/>
        </w:rPr>
      </w:pPr>
      <w:r w:rsidRPr="00DA69F8">
        <w:rPr>
          <w:sz w:val="28"/>
          <w:szCs w:val="28"/>
          <w:lang w:val="en-GB"/>
        </w:rPr>
        <w:t xml:space="preserve">R5-190963, Discussion on OBW procedure update for FR1 and FR2, Qualcomm Inc. 3GPP TSG RAN WG5 #4-5G-NR </w:t>
      </w:r>
      <w:proofErr w:type="spellStart"/>
      <w:r w:rsidRPr="00DA69F8">
        <w:rPr>
          <w:sz w:val="28"/>
          <w:szCs w:val="28"/>
          <w:lang w:val="en-GB"/>
        </w:rPr>
        <w:t>Adhoc</w:t>
      </w:r>
      <w:proofErr w:type="spellEnd"/>
      <w:r w:rsidRPr="00DA69F8">
        <w:rPr>
          <w:sz w:val="28"/>
          <w:szCs w:val="28"/>
          <w:lang w:val="en-GB"/>
        </w:rPr>
        <w:t>, Singapore, January 21 - 25, 2019.</w:t>
      </w:r>
    </w:p>
    <w:sectPr w:rsidR="0029437F" w:rsidRPr="00DA69F8" w:rsidSect="003838EA">
      <w:footerReference w:type="default" r:id="rId10"/>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C48DE" w14:textId="77777777" w:rsidR="001425F2" w:rsidRDefault="001425F2" w:rsidP="00371D7D">
      <w:r>
        <w:separator/>
      </w:r>
    </w:p>
  </w:endnote>
  <w:endnote w:type="continuationSeparator" w:id="0">
    <w:p w14:paraId="1C37D8F1" w14:textId="77777777" w:rsidR="001425F2" w:rsidRDefault="001425F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altName w:val="¡Ë¢çE¢®EcE¢®E¡ËcEcE¢®E¡ËcE¡Ë¢çE"/>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23B99FAD"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41C7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A8319" w14:textId="77777777" w:rsidR="001425F2" w:rsidRDefault="001425F2" w:rsidP="00371D7D">
      <w:r>
        <w:separator/>
      </w:r>
    </w:p>
  </w:footnote>
  <w:footnote w:type="continuationSeparator" w:id="0">
    <w:p w14:paraId="61ED931B" w14:textId="77777777" w:rsidR="001425F2" w:rsidRDefault="001425F2"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4D1A43"/>
    <w:multiLevelType w:val="hybridMultilevel"/>
    <w:tmpl w:val="5E88F316"/>
    <w:lvl w:ilvl="0" w:tplc="3C1A1966">
      <w:start w:val="1"/>
      <w:numFmt w:val="bullet"/>
      <w:lvlText w:val="•"/>
      <w:lvlJc w:val="left"/>
      <w:pPr>
        <w:tabs>
          <w:tab w:val="num" w:pos="720"/>
        </w:tabs>
        <w:ind w:left="720" w:hanging="360"/>
      </w:pPr>
      <w:rPr>
        <w:rFonts w:ascii="Arial" w:hAnsi="Arial" w:hint="default"/>
      </w:rPr>
    </w:lvl>
    <w:lvl w:ilvl="1" w:tplc="A68E482E" w:tentative="1">
      <w:start w:val="1"/>
      <w:numFmt w:val="bullet"/>
      <w:lvlText w:val="•"/>
      <w:lvlJc w:val="left"/>
      <w:pPr>
        <w:tabs>
          <w:tab w:val="num" w:pos="1440"/>
        </w:tabs>
        <w:ind w:left="1440" w:hanging="360"/>
      </w:pPr>
      <w:rPr>
        <w:rFonts w:ascii="Arial" w:hAnsi="Arial" w:hint="default"/>
      </w:rPr>
    </w:lvl>
    <w:lvl w:ilvl="2" w:tplc="79EAA694" w:tentative="1">
      <w:start w:val="1"/>
      <w:numFmt w:val="bullet"/>
      <w:lvlText w:val="•"/>
      <w:lvlJc w:val="left"/>
      <w:pPr>
        <w:tabs>
          <w:tab w:val="num" w:pos="2160"/>
        </w:tabs>
        <w:ind w:left="2160" w:hanging="360"/>
      </w:pPr>
      <w:rPr>
        <w:rFonts w:ascii="Arial" w:hAnsi="Arial" w:hint="default"/>
      </w:rPr>
    </w:lvl>
    <w:lvl w:ilvl="3" w:tplc="09ECED60" w:tentative="1">
      <w:start w:val="1"/>
      <w:numFmt w:val="bullet"/>
      <w:lvlText w:val="•"/>
      <w:lvlJc w:val="left"/>
      <w:pPr>
        <w:tabs>
          <w:tab w:val="num" w:pos="2880"/>
        </w:tabs>
        <w:ind w:left="2880" w:hanging="360"/>
      </w:pPr>
      <w:rPr>
        <w:rFonts w:ascii="Arial" w:hAnsi="Arial" w:hint="default"/>
      </w:rPr>
    </w:lvl>
    <w:lvl w:ilvl="4" w:tplc="2B62AA4C" w:tentative="1">
      <w:start w:val="1"/>
      <w:numFmt w:val="bullet"/>
      <w:lvlText w:val="•"/>
      <w:lvlJc w:val="left"/>
      <w:pPr>
        <w:tabs>
          <w:tab w:val="num" w:pos="3600"/>
        </w:tabs>
        <w:ind w:left="3600" w:hanging="360"/>
      </w:pPr>
      <w:rPr>
        <w:rFonts w:ascii="Arial" w:hAnsi="Arial" w:hint="default"/>
      </w:rPr>
    </w:lvl>
    <w:lvl w:ilvl="5" w:tplc="8F7C07B2" w:tentative="1">
      <w:start w:val="1"/>
      <w:numFmt w:val="bullet"/>
      <w:lvlText w:val="•"/>
      <w:lvlJc w:val="left"/>
      <w:pPr>
        <w:tabs>
          <w:tab w:val="num" w:pos="4320"/>
        </w:tabs>
        <w:ind w:left="4320" w:hanging="360"/>
      </w:pPr>
      <w:rPr>
        <w:rFonts w:ascii="Arial" w:hAnsi="Arial" w:hint="default"/>
      </w:rPr>
    </w:lvl>
    <w:lvl w:ilvl="6" w:tplc="8D660EF2" w:tentative="1">
      <w:start w:val="1"/>
      <w:numFmt w:val="bullet"/>
      <w:lvlText w:val="•"/>
      <w:lvlJc w:val="left"/>
      <w:pPr>
        <w:tabs>
          <w:tab w:val="num" w:pos="5040"/>
        </w:tabs>
        <w:ind w:left="5040" w:hanging="360"/>
      </w:pPr>
      <w:rPr>
        <w:rFonts w:ascii="Arial" w:hAnsi="Arial" w:hint="default"/>
      </w:rPr>
    </w:lvl>
    <w:lvl w:ilvl="7" w:tplc="B4DE3AF2" w:tentative="1">
      <w:start w:val="1"/>
      <w:numFmt w:val="bullet"/>
      <w:lvlText w:val="•"/>
      <w:lvlJc w:val="left"/>
      <w:pPr>
        <w:tabs>
          <w:tab w:val="num" w:pos="5760"/>
        </w:tabs>
        <w:ind w:left="5760" w:hanging="360"/>
      </w:pPr>
      <w:rPr>
        <w:rFonts w:ascii="Arial" w:hAnsi="Arial" w:hint="default"/>
      </w:rPr>
    </w:lvl>
    <w:lvl w:ilvl="8" w:tplc="E3C479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1459C"/>
    <w:multiLevelType w:val="hybridMultilevel"/>
    <w:tmpl w:val="58066A76"/>
    <w:lvl w:ilvl="0" w:tplc="AFF8711A">
      <w:start w:val="1"/>
      <w:numFmt w:val="bullet"/>
      <w:lvlText w:val="•"/>
      <w:lvlJc w:val="left"/>
      <w:pPr>
        <w:tabs>
          <w:tab w:val="num" w:pos="720"/>
        </w:tabs>
        <w:ind w:left="720" w:hanging="360"/>
      </w:pPr>
      <w:rPr>
        <w:rFonts w:ascii="Arial" w:hAnsi="Arial" w:hint="default"/>
      </w:rPr>
    </w:lvl>
    <w:lvl w:ilvl="1" w:tplc="8E98E3FE" w:tentative="1">
      <w:start w:val="1"/>
      <w:numFmt w:val="bullet"/>
      <w:lvlText w:val="•"/>
      <w:lvlJc w:val="left"/>
      <w:pPr>
        <w:tabs>
          <w:tab w:val="num" w:pos="1440"/>
        </w:tabs>
        <w:ind w:left="1440" w:hanging="360"/>
      </w:pPr>
      <w:rPr>
        <w:rFonts w:ascii="Arial" w:hAnsi="Arial" w:hint="default"/>
      </w:rPr>
    </w:lvl>
    <w:lvl w:ilvl="2" w:tplc="4B16E17C" w:tentative="1">
      <w:start w:val="1"/>
      <w:numFmt w:val="bullet"/>
      <w:lvlText w:val="•"/>
      <w:lvlJc w:val="left"/>
      <w:pPr>
        <w:tabs>
          <w:tab w:val="num" w:pos="2160"/>
        </w:tabs>
        <w:ind w:left="2160" w:hanging="360"/>
      </w:pPr>
      <w:rPr>
        <w:rFonts w:ascii="Arial" w:hAnsi="Arial" w:hint="default"/>
      </w:rPr>
    </w:lvl>
    <w:lvl w:ilvl="3" w:tplc="12A6DB84" w:tentative="1">
      <w:start w:val="1"/>
      <w:numFmt w:val="bullet"/>
      <w:lvlText w:val="•"/>
      <w:lvlJc w:val="left"/>
      <w:pPr>
        <w:tabs>
          <w:tab w:val="num" w:pos="2880"/>
        </w:tabs>
        <w:ind w:left="2880" w:hanging="360"/>
      </w:pPr>
      <w:rPr>
        <w:rFonts w:ascii="Arial" w:hAnsi="Arial" w:hint="default"/>
      </w:rPr>
    </w:lvl>
    <w:lvl w:ilvl="4" w:tplc="107A89F0" w:tentative="1">
      <w:start w:val="1"/>
      <w:numFmt w:val="bullet"/>
      <w:lvlText w:val="•"/>
      <w:lvlJc w:val="left"/>
      <w:pPr>
        <w:tabs>
          <w:tab w:val="num" w:pos="3600"/>
        </w:tabs>
        <w:ind w:left="3600" w:hanging="360"/>
      </w:pPr>
      <w:rPr>
        <w:rFonts w:ascii="Arial" w:hAnsi="Arial" w:hint="default"/>
      </w:rPr>
    </w:lvl>
    <w:lvl w:ilvl="5" w:tplc="4ED6BC6C" w:tentative="1">
      <w:start w:val="1"/>
      <w:numFmt w:val="bullet"/>
      <w:lvlText w:val="•"/>
      <w:lvlJc w:val="left"/>
      <w:pPr>
        <w:tabs>
          <w:tab w:val="num" w:pos="4320"/>
        </w:tabs>
        <w:ind w:left="4320" w:hanging="360"/>
      </w:pPr>
      <w:rPr>
        <w:rFonts w:ascii="Arial" w:hAnsi="Arial" w:hint="default"/>
      </w:rPr>
    </w:lvl>
    <w:lvl w:ilvl="6" w:tplc="F7180FE8" w:tentative="1">
      <w:start w:val="1"/>
      <w:numFmt w:val="bullet"/>
      <w:lvlText w:val="•"/>
      <w:lvlJc w:val="left"/>
      <w:pPr>
        <w:tabs>
          <w:tab w:val="num" w:pos="5040"/>
        </w:tabs>
        <w:ind w:left="5040" w:hanging="360"/>
      </w:pPr>
      <w:rPr>
        <w:rFonts w:ascii="Arial" w:hAnsi="Arial" w:hint="default"/>
      </w:rPr>
    </w:lvl>
    <w:lvl w:ilvl="7" w:tplc="BEA444DE" w:tentative="1">
      <w:start w:val="1"/>
      <w:numFmt w:val="bullet"/>
      <w:lvlText w:val="•"/>
      <w:lvlJc w:val="left"/>
      <w:pPr>
        <w:tabs>
          <w:tab w:val="num" w:pos="5760"/>
        </w:tabs>
        <w:ind w:left="5760" w:hanging="360"/>
      </w:pPr>
      <w:rPr>
        <w:rFonts w:ascii="Arial" w:hAnsi="Arial" w:hint="default"/>
      </w:rPr>
    </w:lvl>
    <w:lvl w:ilvl="8" w:tplc="4D6234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5"/>
  </w:num>
  <w:num w:numId="14">
    <w:abstractNumId w:val="19"/>
  </w:num>
  <w:num w:numId="15">
    <w:abstractNumId w:val="27"/>
  </w:num>
  <w:num w:numId="16">
    <w:abstractNumId w:val="12"/>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0"/>
  </w:num>
  <w:num w:numId="25">
    <w:abstractNumId w:val="11"/>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7"/>
  </w:num>
  <w:num w:numId="33">
    <w:abstractNumId w:val="37"/>
  </w:num>
  <w:num w:numId="34">
    <w:abstractNumId w:val="2"/>
  </w:num>
  <w:num w:numId="35">
    <w:abstractNumId w:val="14"/>
  </w:num>
  <w:num w:numId="36">
    <w:abstractNumId w:val="28"/>
  </w:num>
  <w:num w:numId="37">
    <w:abstractNumId w:val="23"/>
  </w:num>
  <w:num w:numId="38">
    <w:abstractNumId w:val="36"/>
  </w:num>
  <w:num w:numId="39">
    <w:abstractNumId w:val="26"/>
  </w:num>
  <w:num w:numId="40">
    <w:abstractNumId w:val="34"/>
  </w:num>
  <w:num w:numId="41">
    <w:abstractNumId w:val="24"/>
  </w:num>
  <w:num w:numId="42">
    <w:abstractNumId w:val="19"/>
  </w:num>
  <w:num w:numId="43">
    <w:abstractNumId w:val="19"/>
  </w:num>
  <w:num w:numId="44">
    <w:abstractNumId w:val="1"/>
  </w:num>
  <w:num w:numId="45">
    <w:abstractNumId w:val="6"/>
  </w:num>
  <w:num w:numId="46">
    <w:abstractNumId w:val="8"/>
  </w:num>
  <w:num w:numId="47">
    <w:abstractNumId w:val="33"/>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01B"/>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365"/>
    <w:rsid w:val="000357C4"/>
    <w:rsid w:val="00036082"/>
    <w:rsid w:val="00037F59"/>
    <w:rsid w:val="000402B6"/>
    <w:rsid w:val="00040F64"/>
    <w:rsid w:val="0004192C"/>
    <w:rsid w:val="00044187"/>
    <w:rsid w:val="0004547C"/>
    <w:rsid w:val="00047428"/>
    <w:rsid w:val="00047BDA"/>
    <w:rsid w:val="00047E75"/>
    <w:rsid w:val="0006221F"/>
    <w:rsid w:val="00063C4D"/>
    <w:rsid w:val="000652BE"/>
    <w:rsid w:val="0006555A"/>
    <w:rsid w:val="000704A0"/>
    <w:rsid w:val="00072CF5"/>
    <w:rsid w:val="000736D7"/>
    <w:rsid w:val="00075135"/>
    <w:rsid w:val="000762B7"/>
    <w:rsid w:val="00076F79"/>
    <w:rsid w:val="000814E4"/>
    <w:rsid w:val="00081C35"/>
    <w:rsid w:val="000828B5"/>
    <w:rsid w:val="00082A5B"/>
    <w:rsid w:val="00085FB8"/>
    <w:rsid w:val="00092C97"/>
    <w:rsid w:val="00096AAF"/>
    <w:rsid w:val="000A0514"/>
    <w:rsid w:val="000A06D2"/>
    <w:rsid w:val="000A24CE"/>
    <w:rsid w:val="000A262C"/>
    <w:rsid w:val="000A2FB0"/>
    <w:rsid w:val="000A3642"/>
    <w:rsid w:val="000A6628"/>
    <w:rsid w:val="000B0F54"/>
    <w:rsid w:val="000B3739"/>
    <w:rsid w:val="000B663A"/>
    <w:rsid w:val="000B7FC7"/>
    <w:rsid w:val="000C03E6"/>
    <w:rsid w:val="000C194F"/>
    <w:rsid w:val="000C2BDD"/>
    <w:rsid w:val="000C4349"/>
    <w:rsid w:val="000C4F6E"/>
    <w:rsid w:val="000C7078"/>
    <w:rsid w:val="000C7318"/>
    <w:rsid w:val="000C7565"/>
    <w:rsid w:val="000D0908"/>
    <w:rsid w:val="000D0E8E"/>
    <w:rsid w:val="000D0EAF"/>
    <w:rsid w:val="000D1B7A"/>
    <w:rsid w:val="000D347D"/>
    <w:rsid w:val="000D4D1C"/>
    <w:rsid w:val="000D68AB"/>
    <w:rsid w:val="000D79F1"/>
    <w:rsid w:val="000E00AB"/>
    <w:rsid w:val="000E1175"/>
    <w:rsid w:val="000E75B0"/>
    <w:rsid w:val="000E7B1E"/>
    <w:rsid w:val="000F2169"/>
    <w:rsid w:val="000F56F9"/>
    <w:rsid w:val="00100D39"/>
    <w:rsid w:val="0010446A"/>
    <w:rsid w:val="00104FCE"/>
    <w:rsid w:val="0010792C"/>
    <w:rsid w:val="00110B13"/>
    <w:rsid w:val="001114C1"/>
    <w:rsid w:val="00112164"/>
    <w:rsid w:val="001137DA"/>
    <w:rsid w:val="0011436A"/>
    <w:rsid w:val="001147B0"/>
    <w:rsid w:val="00114995"/>
    <w:rsid w:val="00116DFF"/>
    <w:rsid w:val="001178F0"/>
    <w:rsid w:val="001179E4"/>
    <w:rsid w:val="00117F9C"/>
    <w:rsid w:val="00121773"/>
    <w:rsid w:val="001234B1"/>
    <w:rsid w:val="00123745"/>
    <w:rsid w:val="00125B15"/>
    <w:rsid w:val="00126CE6"/>
    <w:rsid w:val="00131C14"/>
    <w:rsid w:val="00132BDD"/>
    <w:rsid w:val="001339FF"/>
    <w:rsid w:val="001378A7"/>
    <w:rsid w:val="00141C79"/>
    <w:rsid w:val="001425F2"/>
    <w:rsid w:val="0015068F"/>
    <w:rsid w:val="001530C0"/>
    <w:rsid w:val="00153604"/>
    <w:rsid w:val="001553DE"/>
    <w:rsid w:val="0015692F"/>
    <w:rsid w:val="00162B86"/>
    <w:rsid w:val="0016379A"/>
    <w:rsid w:val="00164040"/>
    <w:rsid w:val="001656D7"/>
    <w:rsid w:val="00167CAD"/>
    <w:rsid w:val="00167FB4"/>
    <w:rsid w:val="0017275D"/>
    <w:rsid w:val="00172D17"/>
    <w:rsid w:val="001747B0"/>
    <w:rsid w:val="00174ED5"/>
    <w:rsid w:val="00176658"/>
    <w:rsid w:val="00176791"/>
    <w:rsid w:val="00180494"/>
    <w:rsid w:val="001810A2"/>
    <w:rsid w:val="00182C38"/>
    <w:rsid w:val="00184003"/>
    <w:rsid w:val="00193A32"/>
    <w:rsid w:val="001A042A"/>
    <w:rsid w:val="001A2E0D"/>
    <w:rsid w:val="001B0670"/>
    <w:rsid w:val="001B0742"/>
    <w:rsid w:val="001B137F"/>
    <w:rsid w:val="001B2191"/>
    <w:rsid w:val="001C0307"/>
    <w:rsid w:val="001C0EA6"/>
    <w:rsid w:val="001C1D01"/>
    <w:rsid w:val="001C2609"/>
    <w:rsid w:val="001C4E17"/>
    <w:rsid w:val="001C6A9C"/>
    <w:rsid w:val="001C766E"/>
    <w:rsid w:val="001D1D1A"/>
    <w:rsid w:val="001D27CE"/>
    <w:rsid w:val="001D369F"/>
    <w:rsid w:val="001D48A0"/>
    <w:rsid w:val="001D5A32"/>
    <w:rsid w:val="001E0A0B"/>
    <w:rsid w:val="001E190C"/>
    <w:rsid w:val="001E4D92"/>
    <w:rsid w:val="001E540B"/>
    <w:rsid w:val="001E5776"/>
    <w:rsid w:val="001E6A7C"/>
    <w:rsid w:val="001E73BE"/>
    <w:rsid w:val="001E7B76"/>
    <w:rsid w:val="001F0673"/>
    <w:rsid w:val="001F2120"/>
    <w:rsid w:val="001F4112"/>
    <w:rsid w:val="001F4E39"/>
    <w:rsid w:val="001F5452"/>
    <w:rsid w:val="001F6CC0"/>
    <w:rsid w:val="00205023"/>
    <w:rsid w:val="00206F1C"/>
    <w:rsid w:val="00207963"/>
    <w:rsid w:val="002101B8"/>
    <w:rsid w:val="00210BB9"/>
    <w:rsid w:val="002119D0"/>
    <w:rsid w:val="00211B0D"/>
    <w:rsid w:val="002146BB"/>
    <w:rsid w:val="00215082"/>
    <w:rsid w:val="00215CC4"/>
    <w:rsid w:val="00216449"/>
    <w:rsid w:val="00216986"/>
    <w:rsid w:val="00216A6B"/>
    <w:rsid w:val="00220316"/>
    <w:rsid w:val="0022150D"/>
    <w:rsid w:val="002225C4"/>
    <w:rsid w:val="00224203"/>
    <w:rsid w:val="0022473C"/>
    <w:rsid w:val="002265E1"/>
    <w:rsid w:val="00226E95"/>
    <w:rsid w:val="00227D50"/>
    <w:rsid w:val="00232282"/>
    <w:rsid w:val="0023375F"/>
    <w:rsid w:val="00234DAE"/>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7778C"/>
    <w:rsid w:val="00282191"/>
    <w:rsid w:val="00282371"/>
    <w:rsid w:val="00284170"/>
    <w:rsid w:val="00286031"/>
    <w:rsid w:val="002866C4"/>
    <w:rsid w:val="00287444"/>
    <w:rsid w:val="00290859"/>
    <w:rsid w:val="00294103"/>
    <w:rsid w:val="0029437F"/>
    <w:rsid w:val="002947A5"/>
    <w:rsid w:val="002965D4"/>
    <w:rsid w:val="00296747"/>
    <w:rsid w:val="002971B6"/>
    <w:rsid w:val="00297831"/>
    <w:rsid w:val="002A02DF"/>
    <w:rsid w:val="002A06EC"/>
    <w:rsid w:val="002A134F"/>
    <w:rsid w:val="002A2863"/>
    <w:rsid w:val="002A2AB2"/>
    <w:rsid w:val="002A659B"/>
    <w:rsid w:val="002B111A"/>
    <w:rsid w:val="002B3C4B"/>
    <w:rsid w:val="002B5523"/>
    <w:rsid w:val="002B5708"/>
    <w:rsid w:val="002B5F65"/>
    <w:rsid w:val="002B7900"/>
    <w:rsid w:val="002C098B"/>
    <w:rsid w:val="002C1517"/>
    <w:rsid w:val="002C3A4F"/>
    <w:rsid w:val="002C48E9"/>
    <w:rsid w:val="002C75A4"/>
    <w:rsid w:val="002C761F"/>
    <w:rsid w:val="002D0C60"/>
    <w:rsid w:val="002D394E"/>
    <w:rsid w:val="002D5691"/>
    <w:rsid w:val="002D69DC"/>
    <w:rsid w:val="002E0D1B"/>
    <w:rsid w:val="002E1075"/>
    <w:rsid w:val="002E2768"/>
    <w:rsid w:val="002E3CF0"/>
    <w:rsid w:val="002E434E"/>
    <w:rsid w:val="002E74E5"/>
    <w:rsid w:val="002F1A84"/>
    <w:rsid w:val="002F26C4"/>
    <w:rsid w:val="002F3517"/>
    <w:rsid w:val="002F3C5C"/>
    <w:rsid w:val="002F5049"/>
    <w:rsid w:val="002F6CC0"/>
    <w:rsid w:val="002F76C0"/>
    <w:rsid w:val="003013B7"/>
    <w:rsid w:val="00305C89"/>
    <w:rsid w:val="00305D94"/>
    <w:rsid w:val="00306245"/>
    <w:rsid w:val="003112E8"/>
    <w:rsid w:val="0031299F"/>
    <w:rsid w:val="00314236"/>
    <w:rsid w:val="00315F9F"/>
    <w:rsid w:val="00316376"/>
    <w:rsid w:val="00316B03"/>
    <w:rsid w:val="00316F3F"/>
    <w:rsid w:val="003200D8"/>
    <w:rsid w:val="00321492"/>
    <w:rsid w:val="0032672D"/>
    <w:rsid w:val="003300C3"/>
    <w:rsid w:val="00330686"/>
    <w:rsid w:val="003321C2"/>
    <w:rsid w:val="00332D69"/>
    <w:rsid w:val="003344C4"/>
    <w:rsid w:val="00334F04"/>
    <w:rsid w:val="003434B3"/>
    <w:rsid w:val="00344609"/>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468D"/>
    <w:rsid w:val="003A575F"/>
    <w:rsid w:val="003A6164"/>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700"/>
    <w:rsid w:val="003D51E6"/>
    <w:rsid w:val="003D602B"/>
    <w:rsid w:val="003D7784"/>
    <w:rsid w:val="003D7B2C"/>
    <w:rsid w:val="003E12B0"/>
    <w:rsid w:val="003E1A65"/>
    <w:rsid w:val="003E2565"/>
    <w:rsid w:val="003E256C"/>
    <w:rsid w:val="003E5779"/>
    <w:rsid w:val="003F0DEB"/>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42EC"/>
    <w:rsid w:val="004858E1"/>
    <w:rsid w:val="00485B5B"/>
    <w:rsid w:val="0048673D"/>
    <w:rsid w:val="00487FC3"/>
    <w:rsid w:val="00491A62"/>
    <w:rsid w:val="00492977"/>
    <w:rsid w:val="0049310F"/>
    <w:rsid w:val="004933DA"/>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3B4"/>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08F"/>
    <w:rsid w:val="0055483C"/>
    <w:rsid w:val="00557539"/>
    <w:rsid w:val="00562C0C"/>
    <w:rsid w:val="00564786"/>
    <w:rsid w:val="00565D1E"/>
    <w:rsid w:val="00565E03"/>
    <w:rsid w:val="00565F1C"/>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15A3"/>
    <w:rsid w:val="005A3BC6"/>
    <w:rsid w:val="005B535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427"/>
    <w:rsid w:val="005F2CC8"/>
    <w:rsid w:val="005F2E71"/>
    <w:rsid w:val="005F2EDB"/>
    <w:rsid w:val="005F37CF"/>
    <w:rsid w:val="0060326E"/>
    <w:rsid w:val="00604646"/>
    <w:rsid w:val="00606D88"/>
    <w:rsid w:val="00607A72"/>
    <w:rsid w:val="00607E76"/>
    <w:rsid w:val="0061069A"/>
    <w:rsid w:val="00610D29"/>
    <w:rsid w:val="00611A7F"/>
    <w:rsid w:val="00612270"/>
    <w:rsid w:val="006163C1"/>
    <w:rsid w:val="0061650C"/>
    <w:rsid w:val="00616A52"/>
    <w:rsid w:val="00617172"/>
    <w:rsid w:val="006175A0"/>
    <w:rsid w:val="00617926"/>
    <w:rsid w:val="00621319"/>
    <w:rsid w:val="00626288"/>
    <w:rsid w:val="00627053"/>
    <w:rsid w:val="00630334"/>
    <w:rsid w:val="006318EA"/>
    <w:rsid w:val="0063332F"/>
    <w:rsid w:val="00633773"/>
    <w:rsid w:val="0063395B"/>
    <w:rsid w:val="00635940"/>
    <w:rsid w:val="006363AC"/>
    <w:rsid w:val="006366AD"/>
    <w:rsid w:val="00640E01"/>
    <w:rsid w:val="00641EC6"/>
    <w:rsid w:val="00645237"/>
    <w:rsid w:val="006466C9"/>
    <w:rsid w:val="0065230C"/>
    <w:rsid w:val="00654178"/>
    <w:rsid w:val="0066196E"/>
    <w:rsid w:val="00664F1A"/>
    <w:rsid w:val="00667A9C"/>
    <w:rsid w:val="00672879"/>
    <w:rsid w:val="00674D96"/>
    <w:rsid w:val="00675624"/>
    <w:rsid w:val="00680FDD"/>
    <w:rsid w:val="00682781"/>
    <w:rsid w:val="0068305A"/>
    <w:rsid w:val="00683E9D"/>
    <w:rsid w:val="00690B06"/>
    <w:rsid w:val="00692F61"/>
    <w:rsid w:val="00693AEE"/>
    <w:rsid w:val="00695240"/>
    <w:rsid w:val="00695DD5"/>
    <w:rsid w:val="006961C0"/>
    <w:rsid w:val="006A00E4"/>
    <w:rsid w:val="006A00FF"/>
    <w:rsid w:val="006A0B58"/>
    <w:rsid w:val="006A0D0C"/>
    <w:rsid w:val="006A1F8E"/>
    <w:rsid w:val="006A3BBA"/>
    <w:rsid w:val="006A5DB3"/>
    <w:rsid w:val="006A6F49"/>
    <w:rsid w:val="006A7290"/>
    <w:rsid w:val="006A7586"/>
    <w:rsid w:val="006A7894"/>
    <w:rsid w:val="006A7BBA"/>
    <w:rsid w:val="006B01BC"/>
    <w:rsid w:val="006B0E15"/>
    <w:rsid w:val="006B32A3"/>
    <w:rsid w:val="006B508B"/>
    <w:rsid w:val="006B7575"/>
    <w:rsid w:val="006B790A"/>
    <w:rsid w:val="006C049B"/>
    <w:rsid w:val="006C1445"/>
    <w:rsid w:val="006C388F"/>
    <w:rsid w:val="006C4E24"/>
    <w:rsid w:val="006C60BB"/>
    <w:rsid w:val="006C6ACE"/>
    <w:rsid w:val="006C74FF"/>
    <w:rsid w:val="006D3FD0"/>
    <w:rsid w:val="006D46B5"/>
    <w:rsid w:val="006E1A7C"/>
    <w:rsid w:val="006E1CC8"/>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17FA"/>
    <w:rsid w:val="0072290A"/>
    <w:rsid w:val="00724558"/>
    <w:rsid w:val="007246E4"/>
    <w:rsid w:val="007265EE"/>
    <w:rsid w:val="00727391"/>
    <w:rsid w:val="00731B27"/>
    <w:rsid w:val="007327DA"/>
    <w:rsid w:val="00733D87"/>
    <w:rsid w:val="00735D1F"/>
    <w:rsid w:val="0073610E"/>
    <w:rsid w:val="00736A55"/>
    <w:rsid w:val="007449CA"/>
    <w:rsid w:val="00744D61"/>
    <w:rsid w:val="00746B62"/>
    <w:rsid w:val="007477D2"/>
    <w:rsid w:val="00747FFE"/>
    <w:rsid w:val="007510C4"/>
    <w:rsid w:val="00752EC8"/>
    <w:rsid w:val="007560FF"/>
    <w:rsid w:val="00757245"/>
    <w:rsid w:val="00757D7D"/>
    <w:rsid w:val="00761AED"/>
    <w:rsid w:val="007636DE"/>
    <w:rsid w:val="00765F55"/>
    <w:rsid w:val="007706D0"/>
    <w:rsid w:val="00773BDA"/>
    <w:rsid w:val="00773C96"/>
    <w:rsid w:val="00773DCA"/>
    <w:rsid w:val="007742E7"/>
    <w:rsid w:val="007757B3"/>
    <w:rsid w:val="00776D6B"/>
    <w:rsid w:val="007827F7"/>
    <w:rsid w:val="007842C7"/>
    <w:rsid w:val="007927C1"/>
    <w:rsid w:val="00792F7D"/>
    <w:rsid w:val="00793486"/>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2870"/>
    <w:rsid w:val="007D35D4"/>
    <w:rsid w:val="007D4BD9"/>
    <w:rsid w:val="007D632A"/>
    <w:rsid w:val="007D76E0"/>
    <w:rsid w:val="007D77D4"/>
    <w:rsid w:val="007E144D"/>
    <w:rsid w:val="007E1A21"/>
    <w:rsid w:val="007E29DD"/>
    <w:rsid w:val="007E47C9"/>
    <w:rsid w:val="007E542F"/>
    <w:rsid w:val="007E6D3C"/>
    <w:rsid w:val="007E74D3"/>
    <w:rsid w:val="007E75B3"/>
    <w:rsid w:val="007F1D5C"/>
    <w:rsid w:val="007F63B8"/>
    <w:rsid w:val="007F668F"/>
    <w:rsid w:val="00802A02"/>
    <w:rsid w:val="00802F82"/>
    <w:rsid w:val="00803ADC"/>
    <w:rsid w:val="00803D35"/>
    <w:rsid w:val="00804D3E"/>
    <w:rsid w:val="008064E5"/>
    <w:rsid w:val="00806CB6"/>
    <w:rsid w:val="00811A7C"/>
    <w:rsid w:val="00814716"/>
    <w:rsid w:val="00815718"/>
    <w:rsid w:val="008159B1"/>
    <w:rsid w:val="008211B6"/>
    <w:rsid w:val="00821667"/>
    <w:rsid w:val="008222DF"/>
    <w:rsid w:val="00824BF1"/>
    <w:rsid w:val="00825E45"/>
    <w:rsid w:val="00827555"/>
    <w:rsid w:val="00831E58"/>
    <w:rsid w:val="0083554F"/>
    <w:rsid w:val="00836315"/>
    <w:rsid w:val="00837DB8"/>
    <w:rsid w:val="00844428"/>
    <w:rsid w:val="00846CBA"/>
    <w:rsid w:val="00861EA4"/>
    <w:rsid w:val="00862AFA"/>
    <w:rsid w:val="00863700"/>
    <w:rsid w:val="0086567A"/>
    <w:rsid w:val="00865D16"/>
    <w:rsid w:val="008673D6"/>
    <w:rsid w:val="0086793E"/>
    <w:rsid w:val="00867C2A"/>
    <w:rsid w:val="00870546"/>
    <w:rsid w:val="00870C53"/>
    <w:rsid w:val="00871558"/>
    <w:rsid w:val="00871F58"/>
    <w:rsid w:val="00872FCD"/>
    <w:rsid w:val="008731C9"/>
    <w:rsid w:val="00875139"/>
    <w:rsid w:val="0087559E"/>
    <w:rsid w:val="00875D1D"/>
    <w:rsid w:val="00882425"/>
    <w:rsid w:val="00882F18"/>
    <w:rsid w:val="008863F0"/>
    <w:rsid w:val="00887996"/>
    <w:rsid w:val="008919FA"/>
    <w:rsid w:val="008939CD"/>
    <w:rsid w:val="00894205"/>
    <w:rsid w:val="008948CA"/>
    <w:rsid w:val="008966F6"/>
    <w:rsid w:val="008A2450"/>
    <w:rsid w:val="008A4F4D"/>
    <w:rsid w:val="008A5259"/>
    <w:rsid w:val="008B0514"/>
    <w:rsid w:val="008B0B9B"/>
    <w:rsid w:val="008B12D0"/>
    <w:rsid w:val="008B3E44"/>
    <w:rsid w:val="008B4257"/>
    <w:rsid w:val="008B7827"/>
    <w:rsid w:val="008B7853"/>
    <w:rsid w:val="008C2395"/>
    <w:rsid w:val="008C291E"/>
    <w:rsid w:val="008C2C73"/>
    <w:rsid w:val="008C77C6"/>
    <w:rsid w:val="008D05DC"/>
    <w:rsid w:val="008D0A86"/>
    <w:rsid w:val="008D106B"/>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AE1"/>
    <w:rsid w:val="00911FD9"/>
    <w:rsid w:val="00912CC8"/>
    <w:rsid w:val="00913599"/>
    <w:rsid w:val="00914141"/>
    <w:rsid w:val="00916784"/>
    <w:rsid w:val="00916934"/>
    <w:rsid w:val="009228BE"/>
    <w:rsid w:val="00922FD9"/>
    <w:rsid w:val="009247D4"/>
    <w:rsid w:val="00930456"/>
    <w:rsid w:val="00931A88"/>
    <w:rsid w:val="0093237D"/>
    <w:rsid w:val="00933A16"/>
    <w:rsid w:val="00933C7C"/>
    <w:rsid w:val="00933F3F"/>
    <w:rsid w:val="009347AA"/>
    <w:rsid w:val="00935C3D"/>
    <w:rsid w:val="00936FA1"/>
    <w:rsid w:val="00937DE4"/>
    <w:rsid w:val="00941B6C"/>
    <w:rsid w:val="009420AE"/>
    <w:rsid w:val="00942148"/>
    <w:rsid w:val="00943082"/>
    <w:rsid w:val="009437F6"/>
    <w:rsid w:val="009447F9"/>
    <w:rsid w:val="00944D07"/>
    <w:rsid w:val="00944E1A"/>
    <w:rsid w:val="0094526C"/>
    <w:rsid w:val="00946BBC"/>
    <w:rsid w:val="00950962"/>
    <w:rsid w:val="00950BB9"/>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03A2"/>
    <w:rsid w:val="009A1270"/>
    <w:rsid w:val="009B1044"/>
    <w:rsid w:val="009B1507"/>
    <w:rsid w:val="009B2274"/>
    <w:rsid w:val="009C08E2"/>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2EF2"/>
    <w:rsid w:val="00A24150"/>
    <w:rsid w:val="00A32070"/>
    <w:rsid w:val="00A33D3A"/>
    <w:rsid w:val="00A353DC"/>
    <w:rsid w:val="00A40BA0"/>
    <w:rsid w:val="00A40D00"/>
    <w:rsid w:val="00A42596"/>
    <w:rsid w:val="00A43DCF"/>
    <w:rsid w:val="00A44C02"/>
    <w:rsid w:val="00A4537F"/>
    <w:rsid w:val="00A55AF2"/>
    <w:rsid w:val="00A57C7C"/>
    <w:rsid w:val="00A60934"/>
    <w:rsid w:val="00A62362"/>
    <w:rsid w:val="00A63A28"/>
    <w:rsid w:val="00A64C86"/>
    <w:rsid w:val="00A67985"/>
    <w:rsid w:val="00A6798F"/>
    <w:rsid w:val="00A71639"/>
    <w:rsid w:val="00A71CE6"/>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96B"/>
    <w:rsid w:val="00AB6E70"/>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0083"/>
    <w:rsid w:val="00B01EB2"/>
    <w:rsid w:val="00B027C3"/>
    <w:rsid w:val="00B050D3"/>
    <w:rsid w:val="00B05ACB"/>
    <w:rsid w:val="00B05B25"/>
    <w:rsid w:val="00B11E41"/>
    <w:rsid w:val="00B13078"/>
    <w:rsid w:val="00B130F2"/>
    <w:rsid w:val="00B1538B"/>
    <w:rsid w:val="00B17332"/>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470F2"/>
    <w:rsid w:val="00B50A51"/>
    <w:rsid w:val="00B548F0"/>
    <w:rsid w:val="00B57FE5"/>
    <w:rsid w:val="00B60110"/>
    <w:rsid w:val="00B61206"/>
    <w:rsid w:val="00B618F7"/>
    <w:rsid w:val="00B65660"/>
    <w:rsid w:val="00B65E1E"/>
    <w:rsid w:val="00B67FA8"/>
    <w:rsid w:val="00B73093"/>
    <w:rsid w:val="00B754A4"/>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B752E"/>
    <w:rsid w:val="00BC0823"/>
    <w:rsid w:val="00BC0850"/>
    <w:rsid w:val="00BC08FC"/>
    <w:rsid w:val="00BD0D1A"/>
    <w:rsid w:val="00BD13E2"/>
    <w:rsid w:val="00BD4781"/>
    <w:rsid w:val="00BD55A2"/>
    <w:rsid w:val="00BD6319"/>
    <w:rsid w:val="00BD73CC"/>
    <w:rsid w:val="00BE18CE"/>
    <w:rsid w:val="00BE29DD"/>
    <w:rsid w:val="00BE5364"/>
    <w:rsid w:val="00BF1935"/>
    <w:rsid w:val="00BF268B"/>
    <w:rsid w:val="00BF5CB0"/>
    <w:rsid w:val="00BF7A2F"/>
    <w:rsid w:val="00C0043D"/>
    <w:rsid w:val="00C006B0"/>
    <w:rsid w:val="00C00965"/>
    <w:rsid w:val="00C0127E"/>
    <w:rsid w:val="00C01A94"/>
    <w:rsid w:val="00C02E85"/>
    <w:rsid w:val="00C02E86"/>
    <w:rsid w:val="00C04CEB"/>
    <w:rsid w:val="00C0740D"/>
    <w:rsid w:val="00C074A2"/>
    <w:rsid w:val="00C142E1"/>
    <w:rsid w:val="00C14F5D"/>
    <w:rsid w:val="00C24153"/>
    <w:rsid w:val="00C24159"/>
    <w:rsid w:val="00C25111"/>
    <w:rsid w:val="00C253B8"/>
    <w:rsid w:val="00C27A92"/>
    <w:rsid w:val="00C301A2"/>
    <w:rsid w:val="00C3037E"/>
    <w:rsid w:val="00C30491"/>
    <w:rsid w:val="00C30ED0"/>
    <w:rsid w:val="00C3104C"/>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5E44"/>
    <w:rsid w:val="00C96481"/>
    <w:rsid w:val="00C97B69"/>
    <w:rsid w:val="00CA1045"/>
    <w:rsid w:val="00CA2954"/>
    <w:rsid w:val="00CA42E6"/>
    <w:rsid w:val="00CA4CB3"/>
    <w:rsid w:val="00CA5316"/>
    <w:rsid w:val="00CB05D0"/>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002"/>
    <w:rsid w:val="00CF23C9"/>
    <w:rsid w:val="00CF3ECE"/>
    <w:rsid w:val="00CF41D2"/>
    <w:rsid w:val="00D0035A"/>
    <w:rsid w:val="00D00B3C"/>
    <w:rsid w:val="00D01081"/>
    <w:rsid w:val="00D04FCA"/>
    <w:rsid w:val="00D051F7"/>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04AE"/>
    <w:rsid w:val="00D3301A"/>
    <w:rsid w:val="00D33E05"/>
    <w:rsid w:val="00D34A16"/>
    <w:rsid w:val="00D36BEA"/>
    <w:rsid w:val="00D4043B"/>
    <w:rsid w:val="00D424E3"/>
    <w:rsid w:val="00D42662"/>
    <w:rsid w:val="00D42AF3"/>
    <w:rsid w:val="00D512B6"/>
    <w:rsid w:val="00D52C2F"/>
    <w:rsid w:val="00D60B40"/>
    <w:rsid w:val="00D60DB0"/>
    <w:rsid w:val="00D61F7A"/>
    <w:rsid w:val="00D6276B"/>
    <w:rsid w:val="00D63D63"/>
    <w:rsid w:val="00D667C3"/>
    <w:rsid w:val="00D66E80"/>
    <w:rsid w:val="00D674F3"/>
    <w:rsid w:val="00D6756B"/>
    <w:rsid w:val="00D701BC"/>
    <w:rsid w:val="00D71543"/>
    <w:rsid w:val="00D72D08"/>
    <w:rsid w:val="00D75F8F"/>
    <w:rsid w:val="00D76632"/>
    <w:rsid w:val="00D7749F"/>
    <w:rsid w:val="00D77AE7"/>
    <w:rsid w:val="00D8000F"/>
    <w:rsid w:val="00D81F96"/>
    <w:rsid w:val="00D821C8"/>
    <w:rsid w:val="00D83973"/>
    <w:rsid w:val="00D858B7"/>
    <w:rsid w:val="00D930F3"/>
    <w:rsid w:val="00D9321A"/>
    <w:rsid w:val="00D95CC6"/>
    <w:rsid w:val="00D97826"/>
    <w:rsid w:val="00DA1520"/>
    <w:rsid w:val="00DA326D"/>
    <w:rsid w:val="00DA613F"/>
    <w:rsid w:val="00DA69F8"/>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49E7"/>
    <w:rsid w:val="00DC5A49"/>
    <w:rsid w:val="00DC5FBC"/>
    <w:rsid w:val="00DC755B"/>
    <w:rsid w:val="00DC786E"/>
    <w:rsid w:val="00DD1B9D"/>
    <w:rsid w:val="00DD20C7"/>
    <w:rsid w:val="00DD44FC"/>
    <w:rsid w:val="00DD6E41"/>
    <w:rsid w:val="00DD74FF"/>
    <w:rsid w:val="00DE1186"/>
    <w:rsid w:val="00DE3025"/>
    <w:rsid w:val="00DE4417"/>
    <w:rsid w:val="00DE4E25"/>
    <w:rsid w:val="00DE6819"/>
    <w:rsid w:val="00DF19E8"/>
    <w:rsid w:val="00DF3A4D"/>
    <w:rsid w:val="00E01ED6"/>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00A9"/>
    <w:rsid w:val="00E30336"/>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A72"/>
    <w:rsid w:val="00E74BB0"/>
    <w:rsid w:val="00E74BBE"/>
    <w:rsid w:val="00E76211"/>
    <w:rsid w:val="00E762B1"/>
    <w:rsid w:val="00E80403"/>
    <w:rsid w:val="00E80CFB"/>
    <w:rsid w:val="00E8179E"/>
    <w:rsid w:val="00E84BDC"/>
    <w:rsid w:val="00E8563B"/>
    <w:rsid w:val="00E85AE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7E4"/>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3507"/>
    <w:rsid w:val="00F06974"/>
    <w:rsid w:val="00F07012"/>
    <w:rsid w:val="00F0740A"/>
    <w:rsid w:val="00F12AF0"/>
    <w:rsid w:val="00F12E1F"/>
    <w:rsid w:val="00F133A9"/>
    <w:rsid w:val="00F222B3"/>
    <w:rsid w:val="00F22A42"/>
    <w:rsid w:val="00F2354A"/>
    <w:rsid w:val="00F23C22"/>
    <w:rsid w:val="00F24631"/>
    <w:rsid w:val="00F254A4"/>
    <w:rsid w:val="00F30860"/>
    <w:rsid w:val="00F32C78"/>
    <w:rsid w:val="00F336EA"/>
    <w:rsid w:val="00F35E19"/>
    <w:rsid w:val="00F37787"/>
    <w:rsid w:val="00F409F0"/>
    <w:rsid w:val="00F40D01"/>
    <w:rsid w:val="00F410D4"/>
    <w:rsid w:val="00F422D9"/>
    <w:rsid w:val="00F4577D"/>
    <w:rsid w:val="00F4741C"/>
    <w:rsid w:val="00F51556"/>
    <w:rsid w:val="00F51DFF"/>
    <w:rsid w:val="00F54C48"/>
    <w:rsid w:val="00F56AA6"/>
    <w:rsid w:val="00F611E0"/>
    <w:rsid w:val="00F619BC"/>
    <w:rsid w:val="00F62227"/>
    <w:rsid w:val="00F65070"/>
    <w:rsid w:val="00F667D6"/>
    <w:rsid w:val="00F678D1"/>
    <w:rsid w:val="00F67BCD"/>
    <w:rsid w:val="00F71811"/>
    <w:rsid w:val="00F747A8"/>
    <w:rsid w:val="00F76D23"/>
    <w:rsid w:val="00F7720E"/>
    <w:rsid w:val="00F81859"/>
    <w:rsid w:val="00F85F78"/>
    <w:rsid w:val="00F86B37"/>
    <w:rsid w:val="00F90336"/>
    <w:rsid w:val="00F9229B"/>
    <w:rsid w:val="00F92924"/>
    <w:rsid w:val="00F92DD8"/>
    <w:rsid w:val="00F957A4"/>
    <w:rsid w:val="00F95D29"/>
    <w:rsid w:val="00F97BFF"/>
    <w:rsid w:val="00FA124E"/>
    <w:rsid w:val="00FA1560"/>
    <w:rsid w:val="00FA2E31"/>
    <w:rsid w:val="00FA6753"/>
    <w:rsid w:val="00FA753F"/>
    <w:rsid w:val="00FA75E4"/>
    <w:rsid w:val="00FB0839"/>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562C"/>
    <w:rsid w:val="00FC6386"/>
    <w:rsid w:val="00FC63AC"/>
    <w:rsid w:val="00FD35F8"/>
    <w:rsid w:val="00FD3753"/>
    <w:rsid w:val="00FD64B7"/>
    <w:rsid w:val="00FD6C8C"/>
    <w:rsid w:val="00FE0D27"/>
    <w:rsid w:val="00FE1AEC"/>
    <w:rsid w:val="00FE2BE0"/>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B6C"/>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1">
    <w:name w:val="B1"/>
    <w:basedOn w:val="Normal"/>
    <w:link w:val="B1Char"/>
    <w:qFormat/>
    <w:rsid w:val="00727391"/>
    <w:pPr>
      <w:spacing w:after="180" w:line="240" w:lineRule="auto"/>
      <w:ind w:left="568" w:hanging="284"/>
    </w:pPr>
    <w:rPr>
      <w:rFonts w:ascii="Times New Roman" w:hAnsi="Times New Roman" w:cs="Times New Roman"/>
      <w:sz w:val="20"/>
      <w:szCs w:val="20"/>
      <w:lang w:val="en-GB" w:eastAsia="en-US"/>
    </w:rPr>
  </w:style>
  <w:style w:type="character" w:customStyle="1" w:styleId="B1Char">
    <w:name w:val="B1 Char"/>
    <w:link w:val="B1"/>
    <w:rsid w:val="00727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8720">
      <w:bodyDiv w:val="1"/>
      <w:marLeft w:val="0"/>
      <w:marRight w:val="0"/>
      <w:marTop w:val="0"/>
      <w:marBottom w:val="0"/>
      <w:divBdr>
        <w:top w:val="none" w:sz="0" w:space="0" w:color="auto"/>
        <w:left w:val="none" w:sz="0" w:space="0" w:color="auto"/>
        <w:bottom w:val="none" w:sz="0" w:space="0" w:color="auto"/>
        <w:right w:val="none" w:sz="0" w:space="0" w:color="auto"/>
      </w:divBdr>
      <w:divsChild>
        <w:div w:id="523784248">
          <w:marLeft w:val="547"/>
          <w:marRight w:val="0"/>
          <w:marTop w:val="24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62095779">
      <w:bodyDiv w:val="1"/>
      <w:marLeft w:val="0"/>
      <w:marRight w:val="0"/>
      <w:marTop w:val="0"/>
      <w:marBottom w:val="0"/>
      <w:divBdr>
        <w:top w:val="none" w:sz="0" w:space="0" w:color="auto"/>
        <w:left w:val="none" w:sz="0" w:space="0" w:color="auto"/>
        <w:bottom w:val="none" w:sz="0" w:space="0" w:color="auto"/>
        <w:right w:val="none" w:sz="0" w:space="0" w:color="auto"/>
      </w:divBdr>
      <w:divsChild>
        <w:div w:id="2090273947">
          <w:marLeft w:val="547"/>
          <w:marRight w:val="0"/>
          <w:marTop w:val="240"/>
          <w:marBottom w:val="0"/>
          <w:divBdr>
            <w:top w:val="none" w:sz="0" w:space="0" w:color="auto"/>
            <w:left w:val="none" w:sz="0" w:space="0" w:color="auto"/>
            <w:bottom w:val="none" w:sz="0" w:space="0" w:color="auto"/>
            <w:right w:val="none" w:sz="0" w:space="0" w:color="auto"/>
          </w:divBdr>
        </w:div>
      </w:divsChild>
    </w:div>
    <w:div w:id="384793787">
      <w:bodyDiv w:val="1"/>
      <w:marLeft w:val="0"/>
      <w:marRight w:val="0"/>
      <w:marTop w:val="0"/>
      <w:marBottom w:val="0"/>
      <w:divBdr>
        <w:top w:val="none" w:sz="0" w:space="0" w:color="auto"/>
        <w:left w:val="none" w:sz="0" w:space="0" w:color="auto"/>
        <w:bottom w:val="none" w:sz="0" w:space="0" w:color="auto"/>
        <w:right w:val="none" w:sz="0" w:space="0" w:color="auto"/>
      </w:divBdr>
    </w:div>
    <w:div w:id="424612713">
      <w:bodyDiv w:val="1"/>
      <w:marLeft w:val="0"/>
      <w:marRight w:val="0"/>
      <w:marTop w:val="0"/>
      <w:marBottom w:val="0"/>
      <w:divBdr>
        <w:top w:val="none" w:sz="0" w:space="0" w:color="auto"/>
        <w:left w:val="none" w:sz="0" w:space="0" w:color="auto"/>
        <w:bottom w:val="none" w:sz="0" w:space="0" w:color="auto"/>
        <w:right w:val="none" w:sz="0" w:space="0" w:color="auto"/>
      </w:divBdr>
      <w:divsChild>
        <w:div w:id="725950183">
          <w:marLeft w:val="547"/>
          <w:marRight w:val="0"/>
          <w:marTop w:val="24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1496369">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36572560">
      <w:bodyDiv w:val="1"/>
      <w:marLeft w:val="0"/>
      <w:marRight w:val="0"/>
      <w:marTop w:val="0"/>
      <w:marBottom w:val="0"/>
      <w:divBdr>
        <w:top w:val="none" w:sz="0" w:space="0" w:color="auto"/>
        <w:left w:val="none" w:sz="0" w:space="0" w:color="auto"/>
        <w:bottom w:val="none" w:sz="0" w:space="0" w:color="auto"/>
        <w:right w:val="none" w:sz="0" w:space="0" w:color="auto"/>
      </w:divBdr>
      <w:divsChild>
        <w:div w:id="308440868">
          <w:marLeft w:val="547"/>
          <w:marRight w:val="0"/>
          <w:marTop w:val="240"/>
          <w:marBottom w:val="0"/>
          <w:divBdr>
            <w:top w:val="none" w:sz="0" w:space="0" w:color="auto"/>
            <w:left w:val="none" w:sz="0" w:space="0" w:color="auto"/>
            <w:bottom w:val="none" w:sz="0" w:space="0" w:color="auto"/>
            <w:right w:val="none" w:sz="0" w:space="0" w:color="auto"/>
          </w:divBdr>
        </w:div>
        <w:div w:id="2046560255">
          <w:marLeft w:val="547"/>
          <w:marRight w:val="0"/>
          <w:marTop w:val="24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55703516">
      <w:bodyDiv w:val="1"/>
      <w:marLeft w:val="0"/>
      <w:marRight w:val="0"/>
      <w:marTop w:val="0"/>
      <w:marBottom w:val="0"/>
      <w:divBdr>
        <w:top w:val="none" w:sz="0" w:space="0" w:color="auto"/>
        <w:left w:val="none" w:sz="0" w:space="0" w:color="auto"/>
        <w:bottom w:val="none" w:sz="0" w:space="0" w:color="auto"/>
        <w:right w:val="none" w:sz="0" w:space="0" w:color="auto"/>
      </w:divBdr>
      <w:divsChild>
        <w:div w:id="433676340">
          <w:marLeft w:val="547"/>
          <w:marRight w:val="0"/>
          <w:marTop w:val="240"/>
          <w:marBottom w:val="0"/>
          <w:divBdr>
            <w:top w:val="none" w:sz="0" w:space="0" w:color="auto"/>
            <w:left w:val="none" w:sz="0" w:space="0" w:color="auto"/>
            <w:bottom w:val="none" w:sz="0" w:space="0" w:color="auto"/>
            <w:right w:val="none" w:sz="0" w:space="0" w:color="auto"/>
          </w:divBdr>
        </w:div>
      </w:divsChild>
    </w:div>
    <w:div w:id="1661927477">
      <w:bodyDiv w:val="1"/>
      <w:marLeft w:val="0"/>
      <w:marRight w:val="0"/>
      <w:marTop w:val="0"/>
      <w:marBottom w:val="0"/>
      <w:divBdr>
        <w:top w:val="none" w:sz="0" w:space="0" w:color="auto"/>
        <w:left w:val="none" w:sz="0" w:space="0" w:color="auto"/>
        <w:bottom w:val="none" w:sz="0" w:space="0" w:color="auto"/>
        <w:right w:val="none" w:sz="0" w:space="0" w:color="auto"/>
      </w:divBdr>
      <w:divsChild>
        <w:div w:id="1199003897">
          <w:marLeft w:val="547"/>
          <w:marRight w:val="0"/>
          <w:marTop w:val="24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3469876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7471267">
      <w:bodyDiv w:val="1"/>
      <w:marLeft w:val="0"/>
      <w:marRight w:val="0"/>
      <w:marTop w:val="0"/>
      <w:marBottom w:val="0"/>
      <w:divBdr>
        <w:top w:val="none" w:sz="0" w:space="0" w:color="auto"/>
        <w:left w:val="none" w:sz="0" w:space="0" w:color="auto"/>
        <w:bottom w:val="none" w:sz="0" w:space="0" w:color="auto"/>
        <w:right w:val="none" w:sz="0" w:space="0" w:color="auto"/>
      </w:divBdr>
      <w:divsChild>
        <w:div w:id="10494491">
          <w:marLeft w:val="547"/>
          <w:marRight w:val="0"/>
          <w:marTop w:val="240"/>
          <w:marBottom w:val="0"/>
          <w:divBdr>
            <w:top w:val="none" w:sz="0" w:space="0" w:color="auto"/>
            <w:left w:val="none" w:sz="0" w:space="0" w:color="auto"/>
            <w:bottom w:val="none" w:sz="0" w:space="0" w:color="auto"/>
            <w:right w:val="none" w:sz="0" w:space="0" w:color="auto"/>
          </w:divBdr>
        </w:div>
      </w:divsChild>
    </w:div>
    <w:div w:id="2005932615">
      <w:bodyDiv w:val="1"/>
      <w:marLeft w:val="0"/>
      <w:marRight w:val="0"/>
      <w:marTop w:val="0"/>
      <w:marBottom w:val="0"/>
      <w:divBdr>
        <w:top w:val="none" w:sz="0" w:space="0" w:color="auto"/>
        <w:left w:val="none" w:sz="0" w:space="0" w:color="auto"/>
        <w:bottom w:val="none" w:sz="0" w:space="0" w:color="auto"/>
        <w:right w:val="none" w:sz="0" w:space="0" w:color="auto"/>
      </w:divBdr>
      <w:divsChild>
        <w:div w:id="1705204408">
          <w:marLeft w:val="0"/>
          <w:marRight w:val="0"/>
          <w:marTop w:val="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06688-3007-4458-B913-96C80B332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885</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Verma, Sumit</dc:creator>
  <cp:keywords>CTPClassification=CTP_NT</cp:keywords>
  <dc:description/>
  <cp:lastModifiedBy>Ramadan, Yahia</cp:lastModifiedBy>
  <cp:revision>9</cp:revision>
  <cp:lastPrinted>2019-02-14T03:58:00Z</cp:lastPrinted>
  <dcterms:created xsi:type="dcterms:W3CDTF">2019-02-12T22:54:00Z</dcterms:created>
  <dcterms:modified xsi:type="dcterms:W3CDTF">2019-02-14T19:56:00Z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6ad02f8f-a15d-41ae-a2c5-3dfa72889f5a</vt:lpwstr>
  </property>
  <property fmtid="{D5CDD505-2E9C-101B-9397-08002B2CF9AE}" pid="3" name="CTP_TimeStamp">
    <vt:lpwstr>2019-02-12 22:17:10Z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